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12" w:rsidRDefault="00B16E12" w:rsidP="00B16E12">
      <w:pPr>
        <w:spacing w:after="0" w:line="240" w:lineRule="auto"/>
        <w:jc w:val="center"/>
        <w:rPr>
          <w:rFonts w:ascii="Arial" w:hAnsi="Arial" w:cs="Arial"/>
          <w:sz w:val="24"/>
          <w:szCs w:val="24"/>
        </w:rPr>
      </w:pPr>
      <w:r w:rsidRPr="00B16E12">
        <w:rPr>
          <w:rFonts w:ascii="Arial" w:hAnsi="Arial" w:cs="Arial"/>
          <w:b/>
          <w:sz w:val="24"/>
          <w:szCs w:val="24"/>
        </w:rPr>
        <w:t xml:space="preserve">TEXTO </w:t>
      </w:r>
      <w:r w:rsidR="0094063A">
        <w:rPr>
          <w:rFonts w:ascii="Arial" w:hAnsi="Arial" w:cs="Arial"/>
          <w:b/>
          <w:sz w:val="24"/>
          <w:szCs w:val="24"/>
        </w:rPr>
        <w:t>APROBADO EN COMISION PRIMERA DE LA HONORABLE CAMARA DE REPRESENTANTES DE</w:t>
      </w:r>
      <w:r w:rsidRPr="00B16E12">
        <w:rPr>
          <w:rFonts w:ascii="Arial" w:hAnsi="Arial" w:cs="Arial"/>
          <w:b/>
          <w:sz w:val="24"/>
          <w:szCs w:val="24"/>
        </w:rPr>
        <w:t>L PROYECTO DE LEY</w:t>
      </w:r>
      <w:r>
        <w:rPr>
          <w:rFonts w:ascii="Arial" w:hAnsi="Arial" w:cs="Arial"/>
          <w:b/>
          <w:sz w:val="24"/>
          <w:szCs w:val="24"/>
        </w:rPr>
        <w:t xml:space="preserve"> </w:t>
      </w:r>
      <w:r w:rsidRPr="00B16E12">
        <w:rPr>
          <w:rFonts w:ascii="Arial" w:hAnsi="Arial" w:cs="Arial"/>
          <w:b/>
          <w:sz w:val="24"/>
          <w:szCs w:val="24"/>
        </w:rPr>
        <w:t xml:space="preserve">No. 017 </w:t>
      </w:r>
      <w:r w:rsidR="00AD1AC6" w:rsidRPr="00B16E12">
        <w:rPr>
          <w:rFonts w:ascii="Arial" w:hAnsi="Arial" w:cs="Arial"/>
          <w:b/>
          <w:sz w:val="24"/>
          <w:szCs w:val="24"/>
        </w:rPr>
        <w:t>DE</w:t>
      </w:r>
      <w:r w:rsidRPr="00B16E12">
        <w:rPr>
          <w:rFonts w:ascii="Arial" w:hAnsi="Arial" w:cs="Arial"/>
          <w:b/>
          <w:sz w:val="24"/>
          <w:szCs w:val="24"/>
        </w:rPr>
        <w:t xml:space="preserve"> 2015 </w:t>
      </w:r>
      <w:r w:rsidR="00AD1AC6" w:rsidRPr="00B16E12">
        <w:rPr>
          <w:rFonts w:ascii="Arial" w:hAnsi="Arial" w:cs="Arial"/>
          <w:b/>
          <w:sz w:val="24"/>
          <w:szCs w:val="24"/>
        </w:rPr>
        <w:t>CÁMARA</w:t>
      </w:r>
      <w:r w:rsidRPr="00B16E12">
        <w:rPr>
          <w:rFonts w:ascii="Arial" w:hAnsi="Arial" w:cs="Arial"/>
          <w:b/>
          <w:sz w:val="24"/>
          <w:szCs w:val="24"/>
        </w:rPr>
        <w:t xml:space="preserve"> </w:t>
      </w:r>
      <w:r w:rsidR="0094063A" w:rsidRPr="00B16E12">
        <w:rPr>
          <w:rFonts w:ascii="Arial" w:hAnsi="Arial" w:cs="Arial"/>
          <w:b/>
          <w:sz w:val="24"/>
          <w:szCs w:val="24"/>
        </w:rPr>
        <w:t>“MEDIANTE LA CUAL SE MODIFICA LA LEY 599 DE 2000 Y SE DICTAN OTRAS DISPOSICIONES PARA PROTEGER LOS MECANISMOS DE PARTICIPACIÓN DEMOCRÁTICA”</w:t>
      </w:r>
    </w:p>
    <w:p w:rsidR="00B16E12" w:rsidRDefault="00B16E12" w:rsidP="00B16E12">
      <w:pPr>
        <w:pStyle w:val="Sinespaciado"/>
        <w:spacing w:line="276" w:lineRule="auto"/>
        <w:jc w:val="center"/>
        <w:rPr>
          <w:rFonts w:ascii="Arial" w:hAnsi="Arial" w:cs="Arial"/>
          <w:sz w:val="24"/>
          <w:szCs w:val="24"/>
        </w:rPr>
      </w:pPr>
    </w:p>
    <w:p w:rsidR="00B16E12" w:rsidRPr="00916F7C" w:rsidRDefault="00B16E12" w:rsidP="00B16E12">
      <w:pPr>
        <w:jc w:val="center"/>
        <w:rPr>
          <w:rFonts w:ascii="Arial" w:hAnsi="Arial" w:cs="Arial"/>
          <w:b/>
          <w:sz w:val="24"/>
          <w:szCs w:val="24"/>
        </w:rPr>
      </w:pPr>
      <w:r w:rsidRPr="00916F7C">
        <w:rPr>
          <w:rFonts w:ascii="Arial" w:hAnsi="Arial" w:cs="Arial"/>
          <w:b/>
          <w:sz w:val="24"/>
          <w:szCs w:val="24"/>
        </w:rPr>
        <w:t>El Congreso de Colombia</w:t>
      </w:r>
    </w:p>
    <w:p w:rsidR="00B16E12" w:rsidRPr="00916F7C" w:rsidRDefault="00B16E12" w:rsidP="00B16E12">
      <w:pPr>
        <w:jc w:val="center"/>
        <w:rPr>
          <w:rFonts w:ascii="Arial" w:hAnsi="Arial" w:cs="Arial"/>
          <w:b/>
          <w:sz w:val="24"/>
          <w:szCs w:val="24"/>
        </w:rPr>
      </w:pPr>
      <w:r w:rsidRPr="00916F7C">
        <w:rPr>
          <w:rFonts w:ascii="Arial" w:hAnsi="Arial" w:cs="Arial"/>
          <w:b/>
          <w:sz w:val="24"/>
          <w:szCs w:val="24"/>
        </w:rPr>
        <w:t>DECRETA.</w:t>
      </w:r>
    </w:p>
    <w:p w:rsidR="00565DAD" w:rsidRPr="00B16E12" w:rsidRDefault="00565DAD" w:rsidP="00A227AC">
      <w:pPr>
        <w:pStyle w:val="Sinespaciado"/>
        <w:jc w:val="center"/>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w:t>
      </w:r>
      <w:r w:rsidRPr="0030410F">
        <w:rPr>
          <w:rFonts w:ascii="Arial" w:hAnsi="Arial" w:cs="Arial"/>
          <w:sz w:val="24"/>
          <w:szCs w:val="24"/>
        </w:rPr>
        <w:t xml:space="preserve"> Modifíquese el artículo 386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Artículo 386. Perturbación de certamen democrático. El que perturbe o impida votación pública relacionada con los mecanismos de participación democrática, o el escrutinio de la misma, o la realización de un cabildo abierto, incurrirá en prisión de cuatro (4) a nueve (9) años y multa de cincuenta (50) a doscientos (200) salarios mínimos legales mensuales vigentes.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La pena será de prisión de seis (6) a doce (12) años cuando la conducta se realice por medio de violencia.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La pena se aumentará de una tercera parte a la mitad cuando la conducta sea realizada por un servidor público.</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2.</w:t>
      </w:r>
      <w:r w:rsidRPr="0030410F">
        <w:rPr>
          <w:rFonts w:ascii="Arial" w:hAnsi="Arial" w:cs="Arial"/>
          <w:sz w:val="24"/>
          <w:szCs w:val="24"/>
        </w:rPr>
        <w:t xml:space="preserve"> Modifíquese el artículo 387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Artículo 387. Constreñimiento al </w:t>
      </w:r>
      <w:proofErr w:type="spellStart"/>
      <w:r w:rsidRPr="0030410F">
        <w:rPr>
          <w:rFonts w:ascii="Arial" w:hAnsi="Arial" w:cs="Arial"/>
          <w:sz w:val="24"/>
          <w:szCs w:val="24"/>
        </w:rPr>
        <w:t>sufragante</w:t>
      </w:r>
      <w:proofErr w:type="spellEnd"/>
      <w:r w:rsidRPr="0030410F">
        <w:rPr>
          <w:rFonts w:ascii="Arial" w:hAnsi="Arial" w:cs="Arial"/>
          <w:sz w:val="24"/>
          <w:szCs w:val="24"/>
        </w:rPr>
        <w:t>. El que amenace por cualquier medio a un ciudadano o a un extranjero habilitado por la ley, con el fin de obtener apoyo o votación por determinado candidato o lista de candidatos, voto en blanco, o por los mismos medios le impida el libre ejercicio del derecho al sufragio, incurrirá en prisión de cuatro (4) a nueve (9) años y multa de cincuenta (50) a doscientos (200) salarios mínimos legales mensuales vigentes.</w:t>
      </w:r>
    </w:p>
    <w:p w:rsidR="00B1513F" w:rsidRPr="0030410F" w:rsidRDefault="00B1513F" w:rsidP="00A227AC">
      <w:pPr>
        <w:spacing w:after="0" w:line="240" w:lineRule="auto"/>
        <w:jc w:val="both"/>
        <w:rPr>
          <w:rFonts w:ascii="Arial" w:hAnsi="Arial" w:cs="Arial"/>
          <w:sz w:val="24"/>
          <w:szCs w:val="24"/>
        </w:rPr>
      </w:pPr>
    </w:p>
    <w:p w:rsidR="00A227AC" w:rsidRPr="0030410F"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En igual pena incurrirá quien por los mismos medios pretenda obtener en plebiscito, referendo, consulta popular o revocatoria del mandato, apoyo o votación en determinado sentido, o impida el libre ejercicio del derecho al sufragio. </w:t>
      </w:r>
    </w:p>
    <w:p w:rsidR="00A227AC" w:rsidRPr="0030410F"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La pena se aumentará de una tercera parte a la mitad cuando la conducta sea realizada por un servidor público. </w:t>
      </w: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La pena se aumentará de una tercera parte a la mitad cuando exista relación de subordinación entre el sujeto activo y el pasivo de la conducta.</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3.</w:t>
      </w:r>
      <w:r w:rsidRPr="0030410F">
        <w:rPr>
          <w:rFonts w:ascii="Arial" w:hAnsi="Arial" w:cs="Arial"/>
          <w:sz w:val="24"/>
          <w:szCs w:val="24"/>
        </w:rPr>
        <w:t xml:space="preserve"> Modifíquese el artículo 388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Pr="0030410F"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Artículo 388. Fraude del </w:t>
      </w:r>
      <w:proofErr w:type="spellStart"/>
      <w:r w:rsidRPr="0030410F">
        <w:rPr>
          <w:rFonts w:ascii="Arial" w:hAnsi="Arial" w:cs="Arial"/>
          <w:sz w:val="24"/>
          <w:szCs w:val="24"/>
        </w:rPr>
        <w:t>sufragante</w:t>
      </w:r>
      <w:proofErr w:type="spellEnd"/>
      <w:r w:rsidRPr="0030410F">
        <w:rPr>
          <w:rFonts w:ascii="Arial" w:hAnsi="Arial" w:cs="Arial"/>
          <w:sz w:val="24"/>
          <w:szCs w:val="24"/>
        </w:rPr>
        <w:t xml:space="preserve">. El que por cualquier medio manipule la intención de un ciudadano o un extranjero habilitado por la ley para que este vote por determinado candidato, partido o corriente política o lo haga en blanco, incurrirá en prisión de cuatro (4) a ocho (8) años, y multa de cincuenta (50) a doscientos (200) salarios mínimos legales mensuales vigentes. </w:t>
      </w:r>
    </w:p>
    <w:p w:rsidR="00A227AC" w:rsidRPr="0030410F" w:rsidRDefault="00A227AC"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En igual pena incurrirá quien por el mismo medio obtenga en plebiscito, referendo, consulta popular o revocatoria del mandato votación en determinado sentido. La pena se aumentará de una tercera parte a la mitad cuando la conducta sea realizada por un servidor público.</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4.</w:t>
      </w:r>
      <w:r w:rsidRPr="0030410F">
        <w:rPr>
          <w:rFonts w:ascii="Arial" w:hAnsi="Arial" w:cs="Arial"/>
          <w:sz w:val="24"/>
          <w:szCs w:val="24"/>
        </w:rPr>
        <w:t xml:space="preserve"> Modifíquese el artículo 389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389. Fraude en inscripción de cédulas. El que por cualquier medio indebido logre que personas habilitadas para votar inscriban documento o cédula de ciudadanía en una localidad, municipio o distrito diferente a aquel donde hayan nacido o residan, con el propósito de obtener ventaja en elección popular, plebiscito, referendo, consulta popular o revocatoria del mandato, incurrirá en prisión de cuatro (4) a nueve (9) años y multa de cincuenta (50) a doscientos (200) salarios mínimos legales mensuales vigentes.</w:t>
      </w:r>
    </w:p>
    <w:p w:rsidR="00B1513F" w:rsidRPr="0030410F" w:rsidRDefault="00B1513F" w:rsidP="00A227AC">
      <w:pPr>
        <w:spacing w:after="0" w:line="240" w:lineRule="auto"/>
        <w:jc w:val="both"/>
        <w:rPr>
          <w:rFonts w:ascii="Arial" w:hAnsi="Arial" w:cs="Arial"/>
          <w:sz w:val="24"/>
          <w:szCs w:val="24"/>
        </w:rPr>
      </w:pPr>
    </w:p>
    <w:p w:rsidR="0028685B" w:rsidRPr="0028685B" w:rsidRDefault="0028685B" w:rsidP="0028685B">
      <w:pPr>
        <w:pStyle w:val="Sinespaciado"/>
        <w:jc w:val="both"/>
        <w:rPr>
          <w:rFonts w:ascii="Arial" w:hAnsi="Arial" w:cs="Arial"/>
          <w:sz w:val="24"/>
          <w:szCs w:val="24"/>
        </w:rPr>
      </w:pPr>
      <w:r w:rsidRPr="0028685B">
        <w:rPr>
          <w:rFonts w:ascii="Arial" w:hAnsi="Arial" w:cs="Arial"/>
          <w:sz w:val="24"/>
          <w:szCs w:val="24"/>
        </w:rPr>
        <w:t>En igual pena incurrirá quien inscriba su documento o cédula de ciudadanía en localidad, municipio o distrito diferente a aquel donde haya nacido o resida, con el propósito de otorgar ventaja en elección popular, plebiscito, referendo, consulta popular o revocatoria del mandato.</w:t>
      </w:r>
    </w:p>
    <w:p w:rsidR="00A227AC" w:rsidRPr="0030410F" w:rsidRDefault="00A227AC"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La pena se aumentará de una tercera parte a la mitad cuando la conducta sea realizada por un servidor público.</w:t>
      </w:r>
    </w:p>
    <w:p w:rsidR="00B1513F" w:rsidRPr="0030410F" w:rsidRDefault="00B1513F" w:rsidP="00A227AC">
      <w:pPr>
        <w:spacing w:after="0" w:line="240" w:lineRule="auto"/>
        <w:jc w:val="both"/>
        <w:rPr>
          <w:rFonts w:ascii="Arial" w:hAnsi="Arial" w:cs="Arial"/>
          <w:sz w:val="24"/>
          <w:szCs w:val="24"/>
        </w:rPr>
      </w:pPr>
    </w:p>
    <w:p w:rsidR="00B1513F"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5.</w:t>
      </w:r>
      <w:r w:rsidRPr="0030410F">
        <w:rPr>
          <w:rFonts w:ascii="Arial" w:hAnsi="Arial" w:cs="Arial"/>
          <w:sz w:val="24"/>
          <w:szCs w:val="24"/>
        </w:rPr>
        <w:t xml:space="preserve"> Adiciónese el artículo 389A a la ley 599 de 2000, el cual quedará así: </w:t>
      </w:r>
    </w:p>
    <w:p w:rsidR="00B1513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389A.  Inscripción o posesión ilícita de candidatos. El que estando inhabilitado para desempeñar cargos públicos se inscriba como candidato para ocupar un cargo de elección popular o una vez elegido se posesione, incurra en prisión de cuatro (4) a nueve (9) años y multa de cincuenta (50) a doscientos (200) salarios mínimos legales mensuales vigentes.</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lastRenderedPageBreak/>
        <w:t xml:space="preserve">La misma pena se aplicará al responsable o responsables de otorgar los avales  y/o realizar la inscripción de los candidatos a los cargos de elección popular. En el caso de los grupos significativos de personas, incurran en esta pena los ciudadanos que trata el inciso 4º del artículo 28 de la ley 1475 de 2011.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6.</w:t>
      </w:r>
      <w:r w:rsidRPr="0030410F">
        <w:rPr>
          <w:rFonts w:ascii="Arial" w:hAnsi="Arial" w:cs="Arial"/>
          <w:sz w:val="24"/>
          <w:szCs w:val="24"/>
        </w:rPr>
        <w:t xml:space="preserve"> Modifíquese el artículo 390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4540C" w:rsidRPr="00A4540C" w:rsidRDefault="00A4540C" w:rsidP="00A4540C">
      <w:pPr>
        <w:pStyle w:val="Sinespaciado"/>
        <w:jc w:val="both"/>
        <w:rPr>
          <w:rFonts w:ascii="Arial" w:hAnsi="Arial" w:cs="Arial"/>
          <w:sz w:val="24"/>
          <w:szCs w:val="24"/>
        </w:rPr>
      </w:pPr>
      <w:r w:rsidRPr="00A4540C">
        <w:rPr>
          <w:rFonts w:ascii="Arial" w:hAnsi="Arial" w:cs="Arial"/>
          <w:sz w:val="24"/>
          <w:szCs w:val="24"/>
        </w:rPr>
        <w:t xml:space="preserve">Artículo 390. Corrupción de </w:t>
      </w:r>
      <w:proofErr w:type="spellStart"/>
      <w:r w:rsidRPr="00A4540C">
        <w:rPr>
          <w:rFonts w:ascii="Arial" w:hAnsi="Arial" w:cs="Arial"/>
          <w:sz w:val="24"/>
          <w:szCs w:val="24"/>
        </w:rPr>
        <w:t>sufragante</w:t>
      </w:r>
      <w:proofErr w:type="spellEnd"/>
      <w:r w:rsidRPr="00A4540C">
        <w:rPr>
          <w:rFonts w:ascii="Arial" w:hAnsi="Arial" w:cs="Arial"/>
          <w:sz w:val="24"/>
          <w:szCs w:val="24"/>
        </w:rPr>
        <w:t xml:space="preserve">. El que prometa, pague o entregue dinero, dádiva u ofrezca beneficio particular a un ciudadano o a un extranjero habilitado por la ley para que consigne su voto en favor de determinado candidato, partido o corriente política, vote en blanco, o se abstenga de hacerlo, incurrirá en prisión de cuatro (4) a ocho (8) años y multa de doscientos (200) a mil (1.000) salarios mínimos legales mensuales vigentes. En igual pena incurrirá quien por los mismos medios obtenga en plebiscito, referendo, consulta popular o revocatoria del mandato votación en determinado sentido. </w:t>
      </w:r>
    </w:p>
    <w:p w:rsidR="00A4540C" w:rsidRPr="00A4540C" w:rsidRDefault="00A4540C" w:rsidP="00A4540C">
      <w:pPr>
        <w:pStyle w:val="Sinespaciado"/>
        <w:jc w:val="both"/>
        <w:rPr>
          <w:rFonts w:ascii="Arial" w:hAnsi="Arial" w:cs="Arial"/>
          <w:sz w:val="24"/>
          <w:szCs w:val="24"/>
        </w:rPr>
      </w:pPr>
    </w:p>
    <w:p w:rsidR="00BD2014" w:rsidRPr="00BD2014" w:rsidRDefault="00BD2014" w:rsidP="00BD2014">
      <w:pPr>
        <w:pStyle w:val="Sinespaciado"/>
        <w:jc w:val="both"/>
        <w:rPr>
          <w:rFonts w:ascii="Arial" w:hAnsi="Arial" w:cs="Arial"/>
          <w:sz w:val="24"/>
          <w:szCs w:val="24"/>
        </w:rPr>
      </w:pPr>
      <w:r w:rsidRPr="00BD2014">
        <w:rPr>
          <w:rFonts w:ascii="Arial" w:hAnsi="Arial" w:cs="Arial"/>
          <w:sz w:val="24"/>
          <w:szCs w:val="24"/>
        </w:rPr>
        <w:t xml:space="preserve">En igual pena incurrirá el </w:t>
      </w:r>
      <w:proofErr w:type="spellStart"/>
      <w:r w:rsidRPr="00BD2014">
        <w:rPr>
          <w:rFonts w:ascii="Arial" w:hAnsi="Arial" w:cs="Arial"/>
          <w:sz w:val="24"/>
          <w:szCs w:val="24"/>
        </w:rPr>
        <w:t>sufragante</w:t>
      </w:r>
      <w:proofErr w:type="spellEnd"/>
      <w:r w:rsidRPr="00BD2014">
        <w:rPr>
          <w:rFonts w:ascii="Arial" w:hAnsi="Arial" w:cs="Arial"/>
          <w:sz w:val="24"/>
          <w:szCs w:val="24"/>
        </w:rPr>
        <w:t xml:space="preserve"> que acepte la promesa, el dinero, la dádiva o beneficio particular con los fines señalados en el inciso primero. </w:t>
      </w:r>
    </w:p>
    <w:p w:rsidR="00A4540C" w:rsidRPr="00A4540C" w:rsidRDefault="00A4540C" w:rsidP="00A4540C">
      <w:pPr>
        <w:pStyle w:val="Sinespaciado"/>
        <w:jc w:val="both"/>
        <w:rPr>
          <w:rFonts w:ascii="Arial" w:hAnsi="Arial" w:cs="Arial"/>
          <w:sz w:val="24"/>
          <w:szCs w:val="24"/>
        </w:rPr>
      </w:pPr>
    </w:p>
    <w:p w:rsidR="00B1513F" w:rsidRDefault="00A4540C" w:rsidP="00A4540C">
      <w:pPr>
        <w:spacing w:after="0" w:line="240" w:lineRule="auto"/>
        <w:jc w:val="both"/>
        <w:rPr>
          <w:rFonts w:ascii="Arial" w:hAnsi="Arial" w:cs="Arial"/>
          <w:sz w:val="24"/>
          <w:szCs w:val="24"/>
        </w:rPr>
      </w:pPr>
      <w:r w:rsidRPr="00A4540C">
        <w:rPr>
          <w:rFonts w:ascii="Arial" w:hAnsi="Arial" w:cs="Arial"/>
          <w:sz w:val="24"/>
          <w:szCs w:val="24"/>
        </w:rPr>
        <w:t>La pena se aumentará de una tercera parte a la mitad cuando la conducta sea realizada por un servidor público.</w:t>
      </w:r>
    </w:p>
    <w:p w:rsidR="00A4540C" w:rsidRPr="00A4540C" w:rsidRDefault="00A4540C" w:rsidP="00A4540C">
      <w:pPr>
        <w:spacing w:after="0" w:line="240" w:lineRule="auto"/>
        <w:jc w:val="both"/>
        <w:rPr>
          <w:rFonts w:ascii="Arial" w:hAnsi="Arial" w:cs="Arial"/>
          <w:sz w:val="24"/>
          <w:szCs w:val="24"/>
        </w:rPr>
      </w:pPr>
    </w:p>
    <w:p w:rsidR="00B1513F"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7.</w:t>
      </w:r>
      <w:r w:rsidRPr="0030410F">
        <w:rPr>
          <w:rFonts w:ascii="Arial" w:hAnsi="Arial" w:cs="Arial"/>
          <w:sz w:val="24"/>
          <w:szCs w:val="24"/>
        </w:rPr>
        <w:t xml:space="preserve"> Adiciónese el artículo 390 A el cual quedará así:</w:t>
      </w:r>
    </w:p>
    <w:p w:rsidR="00B1513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390A. Tráfico de votos. El que ofrezca los votos de un grupo de ciudadanos a cambio de dinero o dádiva con la finalidad de que dichos votos se consignen en favor de determinado candidato, partido o corriente política, vote en blanco, se abstenga de hacerlo o en determinado sentido en un plebiscito o referendo o se abstenga de hacerlo incurrirá en prisión de ocho (4) a doce (9) años y cuatrocientos (400) a mil doscientos (1.200) salarios mínimos legales mensuales vigentes.</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8.</w:t>
      </w:r>
      <w:r w:rsidRPr="0030410F">
        <w:rPr>
          <w:rFonts w:ascii="Arial" w:hAnsi="Arial" w:cs="Arial"/>
          <w:sz w:val="24"/>
          <w:szCs w:val="24"/>
        </w:rPr>
        <w:t xml:space="preserve"> Modifíquese el artículo 391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391. Voto fraudulento. El que suplante a un ciudadano o a un extranjero habilitado por la ley, o vote más de una vez, o sin derecho consigne voto en una elección, plebiscito, referendo, consulta popular, o revocatoria del mandato, incurrirá en prisión de cuatro (4) a ocho (8) años, multa de cincuenta (50) a doscientos (200) salarios mínimos legales mensuales vigentes.</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9.</w:t>
      </w:r>
      <w:r w:rsidRPr="0030410F">
        <w:rPr>
          <w:rFonts w:ascii="Arial" w:hAnsi="Arial" w:cs="Arial"/>
          <w:sz w:val="24"/>
          <w:szCs w:val="24"/>
        </w:rPr>
        <w:t xml:space="preserve"> Modifíquese el artículo 392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392. Favorecimiento de voto fraudulento. El servidor público que permita suplantar a un ciudadano o a un extranjero habilitado por la ley, o votar más de una vez o hacerlo sin derecho, incurrirá en prisión de cuatro (4) a nueve (9) años, multa de cincuenta (50) a doscientos (200) salarios mínimos legales mensuales vigentes e inhabilidad para ejercer cargos públicos por el doble de la pena de prisión impuesta.</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10.</w:t>
      </w:r>
      <w:r w:rsidRPr="0030410F">
        <w:rPr>
          <w:rFonts w:ascii="Arial" w:hAnsi="Arial" w:cs="Arial"/>
          <w:sz w:val="24"/>
          <w:szCs w:val="24"/>
        </w:rPr>
        <w:t xml:space="preserve"> Modifíquese el artículo 393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Artículo 393. Mora en la entrega de documentos relacionados con una votación. El servidor público que no haga entrega oportuna a la autoridad competente de registro electoral, sellos de urna o de arca </w:t>
      </w:r>
      <w:proofErr w:type="spellStart"/>
      <w:r w:rsidRPr="0030410F">
        <w:rPr>
          <w:rFonts w:ascii="Arial" w:hAnsi="Arial" w:cs="Arial"/>
          <w:sz w:val="24"/>
          <w:szCs w:val="24"/>
        </w:rPr>
        <w:t>triclave</w:t>
      </w:r>
      <w:proofErr w:type="spellEnd"/>
      <w:r w:rsidRPr="0030410F">
        <w:rPr>
          <w:rFonts w:ascii="Arial" w:hAnsi="Arial" w:cs="Arial"/>
          <w:sz w:val="24"/>
          <w:szCs w:val="24"/>
        </w:rPr>
        <w:t>, incurrirá en prisión de cuatro (4) a nueve (9) años, multa de cincuenta (50) a doscientos (200) salarios mínimos legales mensuales vigentes e inhabilidad para ejercer cargos públicos por el doble de la pena de prisión impuesta.</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11.</w:t>
      </w:r>
      <w:r w:rsidRPr="0030410F">
        <w:rPr>
          <w:rFonts w:ascii="Arial" w:hAnsi="Arial" w:cs="Arial"/>
          <w:sz w:val="24"/>
          <w:szCs w:val="24"/>
        </w:rPr>
        <w:t xml:space="preserve"> Modifíquese el artículo 394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394. Alteración de resultados electorales. El que por medio distinto de los señalados en los Artículos precedentes altere el resultado de una votación o introduzca documentos o tarjetones indebidamente, incurrirá en prisión de cuatro (4) a ocho (8) años, salvo que la conducta constituya delito sancionado con pena mayor, multa de cincuenta (50) a doscientos (200) salarios mínimos legales mensuales vigentes. La pena se aumentará de una tercera parte a la mitad cuando la conducta sea realizada por un servidor público.</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12.</w:t>
      </w:r>
      <w:r w:rsidRPr="0030410F">
        <w:rPr>
          <w:rFonts w:ascii="Arial" w:hAnsi="Arial" w:cs="Arial"/>
          <w:sz w:val="24"/>
          <w:szCs w:val="24"/>
        </w:rPr>
        <w:t xml:space="preserve"> Modifíquese el artículo 395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395. Ocultamiento, retención y posesión ilícita de cédula. El que haga desaparecer, posea o retenga cédula de ciudadanía ajena o cualquier otro documento necesario para el ejercicio del derecho de sufragio, incurrirá en prisión de cuatro (4) a ocho (8) años, salvo que la conducta constituya delito sancionado con pena mayor, multa de cincuenta (50) a doscientos (200) salarios mínimos legales mensuales vigentes.</w:t>
      </w:r>
    </w:p>
    <w:p w:rsidR="00B1513F" w:rsidRDefault="00B1513F" w:rsidP="00A227AC">
      <w:pPr>
        <w:spacing w:after="0" w:line="240" w:lineRule="auto"/>
        <w:jc w:val="both"/>
        <w:rPr>
          <w:rFonts w:ascii="Arial" w:hAnsi="Arial" w:cs="Arial"/>
          <w:sz w:val="24"/>
          <w:szCs w:val="24"/>
        </w:rPr>
      </w:pPr>
    </w:p>
    <w:p w:rsidR="002F2511" w:rsidRPr="0030410F" w:rsidRDefault="002F2511"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13.</w:t>
      </w:r>
      <w:r w:rsidRPr="0030410F">
        <w:rPr>
          <w:rFonts w:ascii="Arial" w:hAnsi="Arial" w:cs="Arial"/>
          <w:sz w:val="24"/>
          <w:szCs w:val="24"/>
        </w:rPr>
        <w:t xml:space="preserve"> Modifíquese el artículo 396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lastRenderedPageBreak/>
        <w:t>Artículo 396. Denegación de inscripción. El servidor público a quien legalmente corresponda la inscripción de candidato o lista de candidatos para elecciones populares que no cumpla con esta función o la dilate o entorpezca, incurrirá en prisión de cuatro (4) a ocho (8) años, multa de cincuenta (50) a doscientos (200) salarios mínimos legales mensuales vigentes e inhabilidad para ejercer cargos públicos por el doble de la pena de prisión impuesta. En igual pena incurrirá quien realice las conductas anteriores cuando se trate de plebiscito, referendo, consulta popular y revocatoria del mandato. La misma pena se impondrá al que por cualquier medio impida u obstaculice la inscripción a que se refieren los incisos anteriores.</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14.</w:t>
      </w:r>
      <w:r w:rsidRPr="0030410F">
        <w:rPr>
          <w:rFonts w:ascii="Arial" w:hAnsi="Arial" w:cs="Arial"/>
          <w:sz w:val="24"/>
          <w:szCs w:val="24"/>
        </w:rPr>
        <w:t xml:space="preserve"> Modifíquese el artículo 159 del Decreto 2241 de 1986, Código Electoral el cual quedara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ARTÍCULO 159. Los cargos de escrutadores distritales, municipales y zonales son de forzosa aceptación e indelegables. Los que no concurran a desempeñarlos pagarán una multa de hasta diez (10) salarios mínimos mensuales legales vigentes, que será impuesta, mediante resolución, por los Delegados del Registrador Nacional del Estado Civil. La multa será pagada en un término no superior a 30 días de la expedición de la resolución, so pena de ser reportados en las centrales de riesgos.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Los Delegados del Registrador Nacional del Estado Civil podrán exonerar del pago de la multa a quienes acrediten que su incumplimiento se debió a alguna de las causales establecidas en los literales a) y b) del artículo 108 de este Código, demostrada en la forma prevista en esta disposición.</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15.</w:t>
      </w:r>
      <w:r w:rsidRPr="0030410F">
        <w:rPr>
          <w:rFonts w:ascii="Arial" w:hAnsi="Arial" w:cs="Arial"/>
          <w:sz w:val="24"/>
          <w:szCs w:val="24"/>
        </w:rPr>
        <w:t xml:space="preserve"> Política Criminal Electoral. El Ministerio de Justicia en coordinación con la Procuraduría General de la Nación, Defensoría del Pueblo, </w:t>
      </w:r>
      <w:proofErr w:type="spellStart"/>
      <w:r w:rsidRPr="0030410F">
        <w:rPr>
          <w:rFonts w:ascii="Arial" w:hAnsi="Arial" w:cs="Arial"/>
          <w:sz w:val="24"/>
          <w:szCs w:val="24"/>
        </w:rPr>
        <w:t>Registraduría</w:t>
      </w:r>
      <w:proofErr w:type="spellEnd"/>
      <w:r w:rsidRPr="0030410F">
        <w:rPr>
          <w:rFonts w:ascii="Arial" w:hAnsi="Arial" w:cs="Arial"/>
          <w:sz w:val="24"/>
          <w:szCs w:val="24"/>
        </w:rPr>
        <w:t xml:space="preserve"> Nacional del Estado Civil, Consejo Nacional Electoral, Fiscalía General de la Nación y el Ministerio de Educación Nacional definirá en un término no mayor a un (1) año la Política Criminal Electoral, a partir de la entrada en vigencia la presente Ley.</w:t>
      </w:r>
    </w:p>
    <w:p w:rsidR="00B1513F" w:rsidRPr="0030410F" w:rsidRDefault="00B1513F" w:rsidP="00A227AC">
      <w:pPr>
        <w:spacing w:after="0" w:line="240" w:lineRule="auto"/>
        <w:jc w:val="both"/>
        <w:rPr>
          <w:rFonts w:ascii="Arial" w:hAnsi="Arial" w:cs="Arial"/>
          <w:sz w:val="24"/>
          <w:szCs w:val="24"/>
        </w:rPr>
      </w:pPr>
    </w:p>
    <w:p w:rsidR="00A227AC" w:rsidRPr="0030410F" w:rsidRDefault="00A227AC" w:rsidP="00A227AC">
      <w:pPr>
        <w:spacing w:after="0" w:line="240" w:lineRule="auto"/>
        <w:jc w:val="both"/>
        <w:rPr>
          <w:rFonts w:ascii="Arial" w:hAnsi="Arial" w:cs="Arial"/>
          <w:sz w:val="24"/>
          <w:szCs w:val="24"/>
        </w:rPr>
      </w:pPr>
      <w:r w:rsidRPr="0030410F">
        <w:rPr>
          <w:rFonts w:ascii="Arial" w:hAnsi="Arial" w:cs="Arial"/>
          <w:sz w:val="24"/>
          <w:szCs w:val="24"/>
        </w:rPr>
        <w:t>Esta política debe considerar mecanismos educativos, pedagógicos y de prevención con el fin de generar respeto y conciencia frente a la importancia del voto y los demás mecanismos de participación.</w:t>
      </w: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Parágrafo: El Ministerio de Justicia enviará un informe trimestral al Honorable Congreso de la Republica, en el que se presenten los avances de la Política Criminal adoptada.</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16:</w:t>
      </w:r>
      <w:r w:rsidRPr="0030410F">
        <w:rPr>
          <w:rFonts w:ascii="Arial" w:hAnsi="Arial" w:cs="Arial"/>
          <w:sz w:val="24"/>
          <w:szCs w:val="24"/>
        </w:rPr>
        <w:t xml:space="preserve"> Del Seguimiento a la ley. Confórmese la Comisión de Seguimiento a los Delitos electorales, la cual deberá sesionar mínimo una vez cada seis meses con el fin de evaluar, proponer y modificar la política criminal electoral descrita en el artículo anterior.</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La Comisión será conformada por:</w:t>
      </w:r>
    </w:p>
    <w:p w:rsidR="00B1513F" w:rsidRPr="0030410F" w:rsidRDefault="00B1513F" w:rsidP="00A227AC">
      <w:pPr>
        <w:spacing w:after="0" w:line="240" w:lineRule="auto"/>
        <w:jc w:val="both"/>
        <w:rPr>
          <w:rFonts w:ascii="Arial" w:hAnsi="Arial" w:cs="Arial"/>
          <w:sz w:val="24"/>
          <w:szCs w:val="24"/>
        </w:rPr>
      </w:pPr>
    </w:p>
    <w:p w:rsidR="00A227AC" w:rsidRPr="0030410F" w:rsidRDefault="00A227AC" w:rsidP="00A227AC">
      <w:pPr>
        <w:spacing w:after="0" w:line="240" w:lineRule="auto"/>
        <w:jc w:val="both"/>
        <w:rPr>
          <w:rFonts w:ascii="Arial" w:hAnsi="Arial" w:cs="Arial"/>
          <w:sz w:val="24"/>
          <w:szCs w:val="24"/>
        </w:rPr>
      </w:pPr>
      <w:r>
        <w:rPr>
          <w:rFonts w:ascii="Arial" w:hAnsi="Arial" w:cs="Arial"/>
          <w:sz w:val="24"/>
          <w:szCs w:val="24"/>
        </w:rPr>
        <w:t xml:space="preserve">1. </w:t>
      </w:r>
      <w:r w:rsidRPr="0030410F">
        <w:rPr>
          <w:rFonts w:ascii="Arial" w:hAnsi="Arial" w:cs="Arial"/>
          <w:sz w:val="24"/>
          <w:szCs w:val="24"/>
        </w:rPr>
        <w:t>Fiscal General de la Nación o su delegado.</w:t>
      </w:r>
    </w:p>
    <w:p w:rsidR="00A227AC" w:rsidRPr="0030410F" w:rsidRDefault="00A227AC" w:rsidP="00A227AC">
      <w:pPr>
        <w:spacing w:after="0" w:line="240" w:lineRule="auto"/>
        <w:jc w:val="both"/>
        <w:rPr>
          <w:rFonts w:ascii="Arial" w:hAnsi="Arial" w:cs="Arial"/>
          <w:sz w:val="24"/>
          <w:szCs w:val="24"/>
        </w:rPr>
      </w:pPr>
      <w:r>
        <w:rPr>
          <w:rFonts w:ascii="Arial" w:hAnsi="Arial" w:cs="Arial"/>
          <w:sz w:val="24"/>
          <w:szCs w:val="24"/>
        </w:rPr>
        <w:t xml:space="preserve">2. </w:t>
      </w:r>
      <w:r w:rsidRPr="0030410F">
        <w:rPr>
          <w:rFonts w:ascii="Arial" w:hAnsi="Arial" w:cs="Arial"/>
          <w:sz w:val="24"/>
          <w:szCs w:val="24"/>
        </w:rPr>
        <w:t>Ministro de Justicia y del Derecho o su delegado.</w:t>
      </w:r>
    </w:p>
    <w:p w:rsidR="00A227AC" w:rsidRPr="0030410F" w:rsidRDefault="00A227AC" w:rsidP="00A227AC">
      <w:pPr>
        <w:spacing w:after="0" w:line="240" w:lineRule="auto"/>
        <w:jc w:val="both"/>
        <w:rPr>
          <w:rFonts w:ascii="Arial" w:hAnsi="Arial" w:cs="Arial"/>
          <w:sz w:val="24"/>
          <w:szCs w:val="24"/>
        </w:rPr>
      </w:pPr>
      <w:r>
        <w:rPr>
          <w:rFonts w:ascii="Arial" w:hAnsi="Arial" w:cs="Arial"/>
          <w:sz w:val="24"/>
          <w:szCs w:val="24"/>
        </w:rPr>
        <w:t xml:space="preserve">3. </w:t>
      </w:r>
      <w:r w:rsidRPr="0030410F">
        <w:rPr>
          <w:rFonts w:ascii="Arial" w:hAnsi="Arial" w:cs="Arial"/>
          <w:sz w:val="24"/>
          <w:szCs w:val="24"/>
        </w:rPr>
        <w:t>Defensor del pueblo o su delegado.</w:t>
      </w:r>
    </w:p>
    <w:p w:rsidR="00A227AC" w:rsidRPr="0030410F" w:rsidRDefault="00A227AC" w:rsidP="00A227AC">
      <w:pPr>
        <w:spacing w:after="0" w:line="240" w:lineRule="auto"/>
        <w:jc w:val="both"/>
        <w:rPr>
          <w:rFonts w:ascii="Arial" w:hAnsi="Arial" w:cs="Arial"/>
          <w:sz w:val="24"/>
          <w:szCs w:val="24"/>
        </w:rPr>
      </w:pPr>
      <w:r>
        <w:rPr>
          <w:rFonts w:ascii="Arial" w:hAnsi="Arial" w:cs="Arial"/>
          <w:sz w:val="24"/>
          <w:szCs w:val="24"/>
        </w:rPr>
        <w:t xml:space="preserve">4. </w:t>
      </w:r>
      <w:r w:rsidRPr="0030410F">
        <w:rPr>
          <w:rFonts w:ascii="Arial" w:hAnsi="Arial" w:cs="Arial"/>
          <w:sz w:val="24"/>
          <w:szCs w:val="24"/>
        </w:rPr>
        <w:t>Tres integrantes del Senado de la República de la Comisión Primera</w:t>
      </w:r>
    </w:p>
    <w:p w:rsidR="00A227AC" w:rsidRPr="0030410F" w:rsidRDefault="00A227AC" w:rsidP="00A227AC">
      <w:pPr>
        <w:spacing w:after="0" w:line="240" w:lineRule="auto"/>
        <w:jc w:val="both"/>
        <w:rPr>
          <w:rFonts w:ascii="Arial" w:hAnsi="Arial" w:cs="Arial"/>
          <w:sz w:val="24"/>
          <w:szCs w:val="24"/>
        </w:rPr>
      </w:pPr>
      <w:r>
        <w:rPr>
          <w:rFonts w:ascii="Arial" w:hAnsi="Arial" w:cs="Arial"/>
          <w:sz w:val="24"/>
          <w:szCs w:val="24"/>
        </w:rPr>
        <w:t xml:space="preserve">5. </w:t>
      </w:r>
      <w:r w:rsidRPr="0030410F">
        <w:rPr>
          <w:rFonts w:ascii="Arial" w:hAnsi="Arial" w:cs="Arial"/>
          <w:sz w:val="24"/>
          <w:szCs w:val="24"/>
        </w:rPr>
        <w:t xml:space="preserve">Tres integrantes de la Cámara de Representantes de la Comisión Primera. </w:t>
      </w:r>
    </w:p>
    <w:p w:rsidR="00A227AC" w:rsidRDefault="00A227AC" w:rsidP="00A227AC">
      <w:pPr>
        <w:spacing w:after="0" w:line="240" w:lineRule="auto"/>
        <w:jc w:val="both"/>
        <w:rPr>
          <w:rFonts w:ascii="Arial" w:hAnsi="Arial" w:cs="Arial"/>
          <w:sz w:val="24"/>
          <w:szCs w:val="24"/>
        </w:rPr>
      </w:pPr>
    </w:p>
    <w:p w:rsidR="00B004C1" w:rsidRDefault="00A227AC" w:rsidP="00A227AC">
      <w:pPr>
        <w:spacing w:after="0" w:line="240" w:lineRule="auto"/>
        <w:jc w:val="both"/>
      </w:pPr>
      <w:r w:rsidRPr="0030410F">
        <w:rPr>
          <w:rFonts w:ascii="Arial" w:hAnsi="Arial" w:cs="Arial"/>
          <w:b/>
          <w:sz w:val="24"/>
          <w:szCs w:val="24"/>
        </w:rPr>
        <w:t>ARTÍCULO 17.</w:t>
      </w:r>
      <w:r w:rsidRPr="0030410F">
        <w:rPr>
          <w:rFonts w:ascii="Arial" w:hAnsi="Arial" w:cs="Arial"/>
          <w:sz w:val="24"/>
          <w:szCs w:val="24"/>
        </w:rPr>
        <w:t xml:space="preserve"> </w:t>
      </w:r>
      <w:r w:rsidR="00B66DB1">
        <w:rPr>
          <w:rFonts w:ascii="Arial" w:hAnsi="Arial" w:cs="Arial"/>
          <w:sz w:val="24"/>
          <w:szCs w:val="24"/>
        </w:rPr>
        <w:t>C</w:t>
      </w:r>
      <w:r w:rsidR="000D01C1">
        <w:rPr>
          <w:rFonts w:ascii="Arial" w:hAnsi="Arial" w:cs="Arial"/>
          <w:sz w:val="24"/>
          <w:szCs w:val="24"/>
        </w:rPr>
        <w:t>á</w:t>
      </w:r>
      <w:r w:rsidR="00B66DB1">
        <w:rPr>
          <w:rFonts w:ascii="Arial" w:hAnsi="Arial" w:cs="Arial"/>
          <w:sz w:val="24"/>
          <w:szCs w:val="24"/>
        </w:rPr>
        <w:t xml:space="preserve">tedra sobre delitos electorales. </w:t>
      </w:r>
      <w:r w:rsidR="0039657F">
        <w:rPr>
          <w:rFonts w:ascii="Arial" w:hAnsi="Arial" w:cs="Arial"/>
          <w:sz w:val="24"/>
          <w:szCs w:val="24"/>
        </w:rPr>
        <w:t>La Cátedra de</w:t>
      </w:r>
      <w:r w:rsidR="006C020F" w:rsidRPr="000D0113">
        <w:rPr>
          <w:rFonts w:ascii="Arial" w:hAnsi="Arial" w:cs="Arial"/>
          <w:sz w:val="24"/>
          <w:szCs w:val="24"/>
        </w:rPr>
        <w:t xml:space="preserve"> democracia </w:t>
      </w:r>
      <w:r w:rsidR="000D0113" w:rsidRPr="000D0113">
        <w:rPr>
          <w:rFonts w:ascii="Arial" w:hAnsi="Arial" w:cs="Arial"/>
          <w:sz w:val="24"/>
          <w:szCs w:val="24"/>
        </w:rPr>
        <w:t>incluirá</w:t>
      </w:r>
      <w:r w:rsidR="006C020F" w:rsidRPr="000D0113">
        <w:rPr>
          <w:rFonts w:ascii="Arial" w:hAnsi="Arial" w:cs="Arial"/>
          <w:sz w:val="24"/>
          <w:szCs w:val="24"/>
        </w:rPr>
        <w:t xml:space="preserve"> la explicación y socialización de las conductas </w:t>
      </w:r>
      <w:r w:rsidR="00AD2B97">
        <w:rPr>
          <w:rFonts w:ascii="Arial" w:hAnsi="Arial" w:cs="Arial"/>
          <w:sz w:val="24"/>
          <w:szCs w:val="24"/>
        </w:rPr>
        <w:t>tipificadas</w:t>
      </w:r>
      <w:r w:rsidR="006C020F" w:rsidRPr="000D0113">
        <w:rPr>
          <w:rFonts w:ascii="Arial" w:hAnsi="Arial" w:cs="Arial"/>
          <w:sz w:val="24"/>
          <w:szCs w:val="24"/>
        </w:rPr>
        <w:t xml:space="preserve"> como</w:t>
      </w:r>
      <w:r w:rsidR="000D0113" w:rsidRPr="000D0113">
        <w:rPr>
          <w:rFonts w:ascii="Arial" w:hAnsi="Arial" w:cs="Arial"/>
          <w:sz w:val="24"/>
          <w:szCs w:val="24"/>
        </w:rPr>
        <w:t xml:space="preserve"> delitos contra mecanismos de participación democrática, </w:t>
      </w:r>
      <w:r w:rsidR="006C020F" w:rsidRPr="000D0113">
        <w:rPr>
          <w:rFonts w:ascii="Arial" w:hAnsi="Arial" w:cs="Arial"/>
          <w:sz w:val="24"/>
          <w:szCs w:val="24"/>
        </w:rPr>
        <w:t xml:space="preserve">tendrá como objetivo crear y consolidar un </w:t>
      </w:r>
      <w:r w:rsidR="00C91BA0" w:rsidRPr="000D0113">
        <w:rPr>
          <w:rFonts w:ascii="Arial" w:hAnsi="Arial" w:cs="Arial"/>
          <w:sz w:val="24"/>
          <w:szCs w:val="24"/>
        </w:rPr>
        <w:t>lugar</w:t>
      </w:r>
      <w:r w:rsidR="006C020F" w:rsidRPr="000D0113">
        <w:rPr>
          <w:rFonts w:ascii="Arial" w:hAnsi="Arial" w:cs="Arial"/>
          <w:sz w:val="24"/>
          <w:szCs w:val="24"/>
        </w:rPr>
        <w:t xml:space="preserve"> para el aprendizaje, la reflexión y e</w:t>
      </w:r>
      <w:r w:rsidR="000D0113" w:rsidRPr="000D0113">
        <w:rPr>
          <w:rFonts w:ascii="Arial" w:hAnsi="Arial" w:cs="Arial"/>
          <w:sz w:val="24"/>
          <w:szCs w:val="24"/>
        </w:rPr>
        <w:t>l diálogo sobre la cultura democrática, será un espacio de pedagogía y formación en torno a la prevención.</w:t>
      </w:r>
      <w:r w:rsidR="000D0113">
        <w:t xml:space="preserve"> </w:t>
      </w:r>
    </w:p>
    <w:p w:rsidR="00EB4955" w:rsidRDefault="00EB4955" w:rsidP="00A227AC">
      <w:pPr>
        <w:spacing w:after="0" w:line="240" w:lineRule="auto"/>
        <w:jc w:val="both"/>
      </w:pPr>
    </w:p>
    <w:p w:rsidR="008F1C43" w:rsidRDefault="00EB4955" w:rsidP="00221ECF">
      <w:pPr>
        <w:spacing w:after="0" w:line="240" w:lineRule="auto"/>
        <w:jc w:val="both"/>
        <w:rPr>
          <w:rFonts w:ascii="Arial" w:hAnsi="Arial" w:cs="Arial"/>
          <w:color w:val="000000"/>
          <w:sz w:val="24"/>
          <w:szCs w:val="24"/>
        </w:rPr>
      </w:pPr>
      <w:r w:rsidRPr="0030410F">
        <w:rPr>
          <w:rFonts w:ascii="Arial" w:hAnsi="Arial" w:cs="Arial"/>
          <w:b/>
          <w:sz w:val="24"/>
          <w:szCs w:val="24"/>
        </w:rPr>
        <w:t>ARTÍCULO 1</w:t>
      </w:r>
      <w:r>
        <w:rPr>
          <w:rFonts w:ascii="Arial" w:hAnsi="Arial" w:cs="Arial"/>
          <w:b/>
          <w:sz w:val="24"/>
          <w:szCs w:val="24"/>
        </w:rPr>
        <w:t>8</w:t>
      </w:r>
      <w:r w:rsidRPr="0030410F">
        <w:rPr>
          <w:rFonts w:ascii="Arial" w:hAnsi="Arial" w:cs="Arial"/>
          <w:b/>
          <w:sz w:val="24"/>
          <w:szCs w:val="24"/>
        </w:rPr>
        <w:t>.</w:t>
      </w:r>
      <w:r>
        <w:rPr>
          <w:rFonts w:ascii="Arial" w:hAnsi="Arial" w:cs="Arial"/>
          <w:b/>
          <w:sz w:val="24"/>
          <w:szCs w:val="24"/>
        </w:rPr>
        <w:t xml:space="preserve"> </w:t>
      </w:r>
      <w:r w:rsidR="00B66DB1" w:rsidRPr="00B66DB1">
        <w:rPr>
          <w:rFonts w:ascii="Arial" w:hAnsi="Arial" w:cs="Arial"/>
          <w:sz w:val="24"/>
          <w:szCs w:val="24"/>
        </w:rPr>
        <w:t>Censo cero.</w:t>
      </w:r>
      <w:r w:rsidR="00B66DB1">
        <w:rPr>
          <w:rFonts w:ascii="Arial" w:hAnsi="Arial" w:cs="Arial"/>
          <w:b/>
          <w:sz w:val="24"/>
          <w:szCs w:val="24"/>
        </w:rPr>
        <w:t xml:space="preserve"> </w:t>
      </w:r>
      <w:r w:rsidRPr="00EB4955">
        <w:rPr>
          <w:rFonts w:ascii="Arial" w:hAnsi="Arial" w:cs="Arial"/>
          <w:sz w:val="24"/>
          <w:szCs w:val="24"/>
        </w:rPr>
        <w:t xml:space="preserve">La </w:t>
      </w:r>
      <w:proofErr w:type="spellStart"/>
      <w:r w:rsidR="007439F5">
        <w:rPr>
          <w:rFonts w:ascii="Arial" w:hAnsi="Arial" w:cs="Arial"/>
          <w:sz w:val="24"/>
          <w:szCs w:val="24"/>
        </w:rPr>
        <w:t>Registraduría</w:t>
      </w:r>
      <w:proofErr w:type="spellEnd"/>
      <w:r w:rsidR="007439F5">
        <w:rPr>
          <w:rFonts w:ascii="Arial" w:hAnsi="Arial" w:cs="Arial"/>
          <w:sz w:val="24"/>
          <w:szCs w:val="24"/>
        </w:rPr>
        <w:t xml:space="preserve"> </w:t>
      </w:r>
      <w:r>
        <w:rPr>
          <w:rFonts w:ascii="Arial" w:hAnsi="Arial" w:cs="Arial"/>
          <w:sz w:val="24"/>
          <w:szCs w:val="24"/>
        </w:rPr>
        <w:t>General de la Nacional dentro de los</w:t>
      </w:r>
      <w:r w:rsidR="00527E6A">
        <w:rPr>
          <w:rFonts w:ascii="Arial" w:hAnsi="Arial" w:cs="Arial"/>
          <w:sz w:val="24"/>
          <w:szCs w:val="24"/>
        </w:rPr>
        <w:t xml:space="preserve"> dos años</w:t>
      </w:r>
      <w:r>
        <w:rPr>
          <w:rFonts w:ascii="Arial" w:hAnsi="Arial" w:cs="Arial"/>
          <w:sz w:val="24"/>
          <w:szCs w:val="24"/>
        </w:rPr>
        <w:t xml:space="preserve"> siguientes a la expedición de la presente ley</w:t>
      </w:r>
      <w:r w:rsidR="008F1C43">
        <w:rPr>
          <w:rFonts w:ascii="Arial" w:hAnsi="Arial" w:cs="Arial"/>
          <w:sz w:val="24"/>
          <w:szCs w:val="24"/>
        </w:rPr>
        <w:t>, realizara un nuevo</w:t>
      </w:r>
      <w:r w:rsidR="00B66DB1">
        <w:rPr>
          <w:rFonts w:ascii="Arial" w:hAnsi="Arial" w:cs="Arial"/>
          <w:sz w:val="24"/>
          <w:szCs w:val="24"/>
        </w:rPr>
        <w:t xml:space="preserve"> censo electoral</w:t>
      </w:r>
      <w:r w:rsidR="008F1C43">
        <w:rPr>
          <w:rFonts w:ascii="Arial" w:hAnsi="Arial" w:cs="Arial"/>
          <w:sz w:val="24"/>
          <w:szCs w:val="24"/>
        </w:rPr>
        <w:t>,</w:t>
      </w:r>
      <w:r w:rsidR="00B66DB1">
        <w:rPr>
          <w:rFonts w:ascii="Arial" w:hAnsi="Arial" w:cs="Arial"/>
          <w:sz w:val="24"/>
          <w:szCs w:val="24"/>
        </w:rPr>
        <w:t xml:space="preserve"> en el cual </w:t>
      </w:r>
      <w:r w:rsidR="00B66DB1" w:rsidRPr="00221ECF">
        <w:rPr>
          <w:rFonts w:ascii="Arial" w:hAnsi="Arial" w:cs="Arial"/>
          <w:color w:val="000000"/>
          <w:sz w:val="24"/>
          <w:szCs w:val="24"/>
        </w:rPr>
        <w:t xml:space="preserve">todos los </w:t>
      </w:r>
      <w:r w:rsidR="008F1C43" w:rsidRPr="00221ECF">
        <w:rPr>
          <w:rFonts w:ascii="Arial" w:hAnsi="Arial" w:cs="Arial"/>
          <w:color w:val="000000"/>
          <w:sz w:val="24"/>
          <w:szCs w:val="24"/>
        </w:rPr>
        <w:t>c</w:t>
      </w:r>
      <w:r w:rsidR="008F1C43">
        <w:rPr>
          <w:rFonts w:ascii="Arial" w:hAnsi="Arial" w:cs="Arial"/>
          <w:color w:val="000000"/>
          <w:sz w:val="24"/>
          <w:szCs w:val="24"/>
        </w:rPr>
        <w:t>iudadanos o extranjeros residentes en Colombia habilitados para votar</w:t>
      </w:r>
      <w:r w:rsidR="00B66DB1" w:rsidRPr="00221ECF">
        <w:rPr>
          <w:rFonts w:ascii="Arial" w:hAnsi="Arial" w:cs="Arial"/>
          <w:color w:val="000000"/>
          <w:sz w:val="24"/>
          <w:szCs w:val="24"/>
        </w:rPr>
        <w:t xml:space="preserve"> vu</w:t>
      </w:r>
      <w:r w:rsidR="008F1C43">
        <w:rPr>
          <w:rFonts w:ascii="Arial" w:hAnsi="Arial" w:cs="Arial"/>
          <w:color w:val="000000"/>
          <w:sz w:val="24"/>
          <w:szCs w:val="24"/>
        </w:rPr>
        <w:t>elvan a inscribir sus cédulas en el lugar donde residen</w:t>
      </w:r>
      <w:r w:rsidR="00221ECF">
        <w:rPr>
          <w:rFonts w:ascii="Arial" w:hAnsi="Arial" w:cs="Arial"/>
          <w:color w:val="000000"/>
          <w:sz w:val="24"/>
          <w:szCs w:val="24"/>
        </w:rPr>
        <w:t xml:space="preserve">. </w:t>
      </w:r>
    </w:p>
    <w:p w:rsidR="00EB4955" w:rsidRPr="00221ECF" w:rsidRDefault="00EB4955" w:rsidP="00221ECF">
      <w:pPr>
        <w:spacing w:after="0" w:line="240" w:lineRule="auto"/>
        <w:jc w:val="both"/>
        <w:rPr>
          <w:rFonts w:ascii="Arial" w:hAnsi="Arial" w:cs="Arial"/>
          <w:sz w:val="24"/>
          <w:szCs w:val="24"/>
        </w:rPr>
      </w:pPr>
    </w:p>
    <w:p w:rsidR="000D0113" w:rsidRDefault="000D0113" w:rsidP="00A227AC">
      <w:pPr>
        <w:spacing w:after="0" w:line="240" w:lineRule="auto"/>
        <w:jc w:val="both"/>
        <w:rPr>
          <w:rFonts w:ascii="Arial" w:hAnsi="Arial" w:cs="Arial"/>
          <w:sz w:val="24"/>
          <w:szCs w:val="24"/>
        </w:rPr>
      </w:pPr>
    </w:p>
    <w:p w:rsidR="00B004C1" w:rsidRPr="0030410F" w:rsidRDefault="00B004C1" w:rsidP="00B004C1">
      <w:pPr>
        <w:spacing w:after="0" w:line="240" w:lineRule="auto"/>
        <w:jc w:val="both"/>
        <w:rPr>
          <w:rFonts w:ascii="Arial" w:hAnsi="Arial" w:cs="Arial"/>
          <w:sz w:val="24"/>
          <w:szCs w:val="24"/>
        </w:rPr>
      </w:pPr>
      <w:r w:rsidRPr="0030410F">
        <w:rPr>
          <w:rFonts w:ascii="Arial" w:hAnsi="Arial" w:cs="Arial"/>
          <w:b/>
          <w:sz w:val="24"/>
          <w:szCs w:val="24"/>
        </w:rPr>
        <w:t>ARTÍCULO 1</w:t>
      </w:r>
      <w:r w:rsidR="00EB4955">
        <w:rPr>
          <w:rFonts w:ascii="Arial" w:hAnsi="Arial" w:cs="Arial"/>
          <w:b/>
          <w:sz w:val="24"/>
          <w:szCs w:val="24"/>
        </w:rPr>
        <w:t>9</w:t>
      </w:r>
      <w:r w:rsidRPr="0030410F">
        <w:rPr>
          <w:rFonts w:ascii="Arial" w:hAnsi="Arial" w:cs="Arial"/>
          <w:b/>
          <w:sz w:val="24"/>
          <w:szCs w:val="24"/>
        </w:rPr>
        <w:t>.</w:t>
      </w:r>
      <w:r w:rsidRPr="0030410F">
        <w:rPr>
          <w:rFonts w:ascii="Arial" w:hAnsi="Arial" w:cs="Arial"/>
          <w:sz w:val="24"/>
          <w:szCs w:val="24"/>
        </w:rPr>
        <w:t xml:space="preserve"> Vigencia. La presente ley rige a partir de su promulgación.</w:t>
      </w:r>
    </w:p>
    <w:p w:rsidR="00596BC8" w:rsidRDefault="00596BC8" w:rsidP="00B16E12">
      <w:pPr>
        <w:spacing w:after="0" w:line="240" w:lineRule="auto"/>
        <w:jc w:val="both"/>
        <w:rPr>
          <w:rFonts w:ascii="Arial" w:hAnsi="Arial" w:cs="Arial"/>
          <w:sz w:val="24"/>
          <w:szCs w:val="24"/>
        </w:rPr>
      </w:pPr>
    </w:p>
    <w:p w:rsidR="00BB51A2" w:rsidRDefault="00BB51A2" w:rsidP="00BB51A2">
      <w:pPr>
        <w:pStyle w:val="Sinespaciado"/>
        <w:jc w:val="both"/>
        <w:rPr>
          <w:rFonts w:ascii="Arial" w:hAnsi="Arial" w:cs="Arial"/>
          <w:sz w:val="24"/>
          <w:szCs w:val="24"/>
        </w:rPr>
      </w:pPr>
    </w:p>
    <w:p w:rsidR="00BB51A2" w:rsidRDefault="00BB51A2" w:rsidP="00BB51A2">
      <w:pPr>
        <w:pStyle w:val="Sinespaciado"/>
        <w:jc w:val="both"/>
        <w:rPr>
          <w:rFonts w:ascii="Arial" w:hAnsi="Arial" w:cs="Arial"/>
          <w:sz w:val="24"/>
          <w:szCs w:val="24"/>
        </w:rPr>
      </w:pPr>
      <w:r>
        <w:rPr>
          <w:rFonts w:ascii="Arial" w:hAnsi="Arial" w:cs="Arial"/>
          <w:sz w:val="24"/>
          <w:szCs w:val="24"/>
        </w:rPr>
        <w:t>En los anteriores términos fue aprobado sin modificaciones el presente Proyecto de Ley el día 24 de mayo de 2016, según consta en el Acta No. 41</w:t>
      </w:r>
      <w:r w:rsidR="00283A85">
        <w:rPr>
          <w:rFonts w:ascii="Arial" w:hAnsi="Arial" w:cs="Arial"/>
          <w:sz w:val="24"/>
          <w:szCs w:val="24"/>
        </w:rPr>
        <w:t>.</w:t>
      </w:r>
      <w:r>
        <w:rPr>
          <w:rFonts w:ascii="Arial" w:hAnsi="Arial" w:cs="Arial"/>
          <w:sz w:val="24"/>
          <w:szCs w:val="24"/>
        </w:rPr>
        <w:t xml:space="preserve"> </w:t>
      </w:r>
      <w:bookmarkStart w:id="0" w:name="_GoBack"/>
      <w:r>
        <w:rPr>
          <w:rFonts w:ascii="Arial" w:hAnsi="Arial" w:cs="Arial"/>
          <w:sz w:val="24"/>
          <w:szCs w:val="24"/>
        </w:rPr>
        <w:t xml:space="preserve">Anunciado entre otras fechas el </w:t>
      </w:r>
      <w:r w:rsidR="00D5483E">
        <w:rPr>
          <w:rFonts w:ascii="Arial" w:hAnsi="Arial" w:cs="Arial"/>
          <w:sz w:val="24"/>
          <w:szCs w:val="24"/>
        </w:rPr>
        <w:t>23</w:t>
      </w:r>
      <w:r>
        <w:rPr>
          <w:rFonts w:ascii="Arial" w:hAnsi="Arial" w:cs="Arial"/>
          <w:sz w:val="24"/>
          <w:szCs w:val="24"/>
        </w:rPr>
        <w:t xml:space="preserve"> de mayo de 2016 según consta en el Acta No. 0</w:t>
      </w:r>
      <w:r w:rsidR="00D5483E">
        <w:rPr>
          <w:rFonts w:ascii="Arial" w:hAnsi="Arial" w:cs="Arial"/>
          <w:sz w:val="24"/>
          <w:szCs w:val="24"/>
        </w:rPr>
        <w:t>8 Conjuntas Senado de la República y Cámara de Representantes</w:t>
      </w:r>
      <w:r>
        <w:rPr>
          <w:rFonts w:ascii="Arial" w:hAnsi="Arial" w:cs="Arial"/>
          <w:sz w:val="24"/>
          <w:szCs w:val="24"/>
        </w:rPr>
        <w:t xml:space="preserve"> de esa misma fecha. </w:t>
      </w:r>
      <w:bookmarkEnd w:id="0"/>
      <w:r>
        <w:rPr>
          <w:rFonts w:ascii="Arial" w:hAnsi="Arial" w:cs="Arial"/>
          <w:sz w:val="24"/>
          <w:szCs w:val="24"/>
        </w:rPr>
        <w:t xml:space="preserve"> </w:t>
      </w:r>
    </w:p>
    <w:p w:rsidR="00952AB9" w:rsidRPr="00916F7C" w:rsidRDefault="00952AB9" w:rsidP="00B16E12">
      <w:pPr>
        <w:spacing w:after="0" w:line="240" w:lineRule="auto"/>
        <w:jc w:val="both"/>
        <w:rPr>
          <w:rFonts w:ascii="Arial" w:hAnsi="Arial" w:cs="Arial"/>
          <w:sz w:val="24"/>
          <w:szCs w:val="24"/>
        </w:rPr>
      </w:pPr>
    </w:p>
    <w:p w:rsidR="00B16E12" w:rsidRPr="00916F7C" w:rsidRDefault="00B16E12" w:rsidP="00B16E12">
      <w:pPr>
        <w:spacing w:after="0" w:line="240" w:lineRule="auto"/>
        <w:jc w:val="both"/>
        <w:rPr>
          <w:rFonts w:ascii="Arial" w:hAnsi="Arial" w:cs="Arial"/>
          <w:sz w:val="24"/>
          <w:szCs w:val="24"/>
        </w:rPr>
      </w:pPr>
    </w:p>
    <w:p w:rsidR="00B16E12" w:rsidRPr="003B743E" w:rsidRDefault="00B16E12" w:rsidP="00B16E12">
      <w:pPr>
        <w:rPr>
          <w:rFonts w:ascii="Arial" w:hAnsi="Arial" w:cs="Arial"/>
          <w:b/>
        </w:rPr>
      </w:pPr>
    </w:p>
    <w:p w:rsidR="00B16E12" w:rsidRPr="003B743E" w:rsidRDefault="0094063A" w:rsidP="00B16E12">
      <w:pPr>
        <w:pStyle w:val="Sinespaciado"/>
        <w:jc w:val="both"/>
        <w:rPr>
          <w:rFonts w:ascii="Arial" w:hAnsi="Arial" w:cs="Arial"/>
          <w:b/>
        </w:rPr>
      </w:pPr>
      <w:r>
        <w:rPr>
          <w:rFonts w:ascii="Arial" w:hAnsi="Arial" w:cs="Arial"/>
          <w:b/>
        </w:rPr>
        <w:t>CLARA L. ROJAS</w:t>
      </w:r>
      <w:r w:rsidR="00FA3F29">
        <w:rPr>
          <w:rFonts w:ascii="Arial" w:hAnsi="Arial" w:cs="Arial"/>
          <w:b/>
        </w:rPr>
        <w:t xml:space="preserve"> GONZALEZ</w:t>
      </w:r>
      <w:r w:rsidR="00B16E12" w:rsidRPr="003B743E">
        <w:rPr>
          <w:rFonts w:ascii="Arial" w:hAnsi="Arial" w:cs="Arial"/>
          <w:b/>
        </w:rPr>
        <w:t xml:space="preserve">                  </w:t>
      </w:r>
      <w:r>
        <w:rPr>
          <w:rFonts w:ascii="Arial" w:hAnsi="Arial" w:cs="Arial"/>
          <w:b/>
        </w:rPr>
        <w:t>MIGUEL ANGEL PINTO HERNANDEZ</w:t>
      </w:r>
    </w:p>
    <w:p w:rsidR="00B16E12" w:rsidRDefault="0094063A" w:rsidP="00B16E12">
      <w:pPr>
        <w:pStyle w:val="Sinespaciado"/>
        <w:jc w:val="both"/>
        <w:rPr>
          <w:rFonts w:ascii="Arial" w:hAnsi="Arial" w:cs="Arial"/>
        </w:rPr>
      </w:pPr>
      <w:r>
        <w:rPr>
          <w:rFonts w:ascii="Arial" w:hAnsi="Arial" w:cs="Arial"/>
        </w:rPr>
        <w:t>Coordinador Ponente</w:t>
      </w:r>
      <w:r>
        <w:rPr>
          <w:rFonts w:ascii="Arial" w:hAnsi="Arial" w:cs="Arial"/>
        </w:rPr>
        <w:tab/>
      </w:r>
      <w:r>
        <w:rPr>
          <w:rFonts w:ascii="Arial" w:hAnsi="Arial" w:cs="Arial"/>
        </w:rPr>
        <w:tab/>
      </w:r>
      <w:r w:rsidR="00B16E12" w:rsidRPr="003B743E">
        <w:rPr>
          <w:rFonts w:ascii="Arial" w:hAnsi="Arial" w:cs="Arial"/>
        </w:rPr>
        <w:t xml:space="preserve">                       </w:t>
      </w:r>
      <w:r>
        <w:rPr>
          <w:rFonts w:ascii="Arial" w:hAnsi="Arial" w:cs="Arial"/>
        </w:rPr>
        <w:t>Presidente</w:t>
      </w:r>
    </w:p>
    <w:p w:rsidR="0094063A" w:rsidRDefault="0094063A" w:rsidP="00B16E12">
      <w:pPr>
        <w:pStyle w:val="Sinespaciado"/>
        <w:jc w:val="both"/>
        <w:rPr>
          <w:rFonts w:ascii="Arial" w:hAnsi="Arial" w:cs="Arial"/>
        </w:rPr>
      </w:pPr>
    </w:p>
    <w:p w:rsidR="0094063A" w:rsidRDefault="0094063A" w:rsidP="00B16E12">
      <w:pPr>
        <w:pStyle w:val="Sinespaciado"/>
        <w:jc w:val="both"/>
        <w:rPr>
          <w:rFonts w:ascii="Arial" w:hAnsi="Arial" w:cs="Arial"/>
        </w:rPr>
      </w:pPr>
    </w:p>
    <w:p w:rsidR="007439F5" w:rsidRDefault="007439F5" w:rsidP="00B16E12">
      <w:pPr>
        <w:pStyle w:val="Sinespaciado"/>
        <w:jc w:val="both"/>
        <w:rPr>
          <w:rFonts w:ascii="Arial" w:hAnsi="Arial" w:cs="Arial"/>
        </w:rPr>
      </w:pPr>
    </w:p>
    <w:p w:rsidR="007439F5" w:rsidRPr="003B743E" w:rsidRDefault="007439F5" w:rsidP="00B16E12">
      <w:pPr>
        <w:pStyle w:val="Sinespaciado"/>
        <w:jc w:val="both"/>
        <w:rPr>
          <w:rFonts w:ascii="Arial" w:hAnsi="Arial" w:cs="Arial"/>
        </w:rPr>
      </w:pPr>
    </w:p>
    <w:p w:rsidR="00B16E12" w:rsidRPr="0094063A" w:rsidRDefault="0094063A" w:rsidP="0094063A">
      <w:pPr>
        <w:pStyle w:val="Sinespaciado"/>
        <w:ind w:left="1416" w:firstLine="708"/>
        <w:jc w:val="both"/>
        <w:rPr>
          <w:rFonts w:ascii="Arial" w:hAnsi="Arial" w:cs="Arial"/>
          <w:b/>
        </w:rPr>
      </w:pPr>
      <w:r>
        <w:rPr>
          <w:rFonts w:ascii="Arial" w:hAnsi="Arial" w:cs="Arial"/>
          <w:b/>
        </w:rPr>
        <w:t xml:space="preserve">AMPARO YANETH CALDERON PERDOMO </w:t>
      </w:r>
      <w:r>
        <w:rPr>
          <w:rFonts w:ascii="Arial" w:hAnsi="Arial" w:cs="Arial"/>
          <w:b/>
        </w:rPr>
        <w:tab/>
      </w:r>
      <w:r>
        <w:rPr>
          <w:rFonts w:ascii="Arial" w:hAnsi="Arial" w:cs="Arial"/>
          <w:b/>
        </w:rPr>
        <w:tab/>
      </w:r>
      <w:r w:rsidR="00B16E12">
        <w:rPr>
          <w:rFonts w:ascii="Arial" w:hAnsi="Arial" w:cs="Arial"/>
        </w:rPr>
        <w:tab/>
      </w:r>
      <w:r>
        <w:rPr>
          <w:rFonts w:ascii="Arial" w:hAnsi="Arial" w:cs="Arial"/>
        </w:rPr>
        <w:tab/>
        <w:t>Secretaria</w:t>
      </w:r>
      <w:r w:rsidR="00B16E12">
        <w:rPr>
          <w:rFonts w:ascii="Arial" w:hAnsi="Arial" w:cs="Arial"/>
        </w:rPr>
        <w:tab/>
      </w:r>
      <w:r w:rsidR="00B16E12">
        <w:rPr>
          <w:rFonts w:ascii="Arial" w:hAnsi="Arial" w:cs="Arial"/>
        </w:rPr>
        <w:tab/>
        <w:t xml:space="preserve">       </w:t>
      </w:r>
    </w:p>
    <w:sectPr w:rsidR="00B16E12" w:rsidRPr="0094063A" w:rsidSect="00C14E0B">
      <w:headerReference w:type="default" r:id="rId8"/>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55" w:rsidRDefault="00A42555" w:rsidP="005A3C91">
      <w:pPr>
        <w:spacing w:after="0" w:line="240" w:lineRule="auto"/>
      </w:pPr>
      <w:r>
        <w:separator/>
      </w:r>
    </w:p>
  </w:endnote>
  <w:endnote w:type="continuationSeparator" w:id="0">
    <w:p w:rsidR="00A42555" w:rsidRDefault="00A42555" w:rsidP="005A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55" w:rsidRDefault="00A42555" w:rsidP="005A3C91">
      <w:pPr>
        <w:spacing w:after="0" w:line="240" w:lineRule="auto"/>
      </w:pPr>
      <w:r>
        <w:separator/>
      </w:r>
    </w:p>
  </w:footnote>
  <w:footnote w:type="continuationSeparator" w:id="0">
    <w:p w:rsidR="00A42555" w:rsidRDefault="00A42555" w:rsidP="005A3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C22C42" w:rsidRDefault="00C22C42" w:rsidP="00C14E0B">
        <w:pPr>
          <w:pStyle w:val="Encabezado"/>
          <w:tabs>
            <w:tab w:val="left" w:pos="5040"/>
          </w:tabs>
        </w:pPr>
        <w:r>
          <w:tab/>
        </w:r>
        <w:r>
          <w:rPr>
            <w:noProof/>
            <w:lang w:eastAsia="es-CO"/>
          </w:rPr>
          <w:t xml:space="preserve">                                             </w:t>
        </w:r>
        <w:r>
          <w:rPr>
            <w:noProof/>
            <w:lang w:eastAsia="es-CO"/>
          </w:rPr>
          <w:drawing>
            <wp:inline distT="0" distB="0" distL="0" distR="0" wp14:anchorId="337BED1D" wp14:editId="34443220">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rsidRPr="005B60B6">
          <w:rPr>
            <w:lang w:val="es-ES"/>
          </w:rPr>
          <w:t xml:space="preserve"> </w:t>
        </w:r>
        <w:r>
          <w:rPr>
            <w:lang w:val="es-ES"/>
          </w:rPr>
          <w:t xml:space="preserve">                    Página </w:t>
        </w:r>
        <w:r>
          <w:rPr>
            <w:b/>
            <w:bCs/>
            <w:sz w:val="24"/>
            <w:szCs w:val="24"/>
          </w:rPr>
          <w:fldChar w:fldCharType="begin"/>
        </w:r>
        <w:r>
          <w:rPr>
            <w:b/>
            <w:bCs/>
          </w:rPr>
          <w:instrText>PAGE</w:instrText>
        </w:r>
        <w:r>
          <w:rPr>
            <w:b/>
            <w:bCs/>
            <w:sz w:val="24"/>
            <w:szCs w:val="24"/>
          </w:rPr>
          <w:fldChar w:fldCharType="separate"/>
        </w:r>
        <w:r w:rsidR="00283A85">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83A85">
          <w:rPr>
            <w:b/>
            <w:bCs/>
            <w:noProof/>
          </w:rPr>
          <w:t>6</w:t>
        </w:r>
        <w:r>
          <w:rPr>
            <w:b/>
            <w:bCs/>
            <w:sz w:val="24"/>
            <w:szCs w:val="24"/>
          </w:rPr>
          <w:fldChar w:fldCharType="end"/>
        </w:r>
      </w:p>
      <w:p w:rsidR="00C22C42" w:rsidRDefault="00C22C42" w:rsidP="00C14E0B">
        <w:pPr>
          <w:pStyle w:val="Encabezado"/>
          <w:tabs>
            <w:tab w:val="left" w:pos="5040"/>
          </w:tabs>
        </w:pPr>
        <w:r>
          <w:rPr>
            <w:lang w:val="es-ES"/>
          </w:rPr>
          <w:t xml:space="preserve">                                     </w:t>
        </w:r>
      </w:p>
      <w:p w:rsidR="00C22C42" w:rsidRDefault="00C22C42" w:rsidP="00C14E0B">
        <w:pPr>
          <w:pStyle w:val="Encabezado"/>
          <w:tabs>
            <w:tab w:val="left" w:pos="5040"/>
          </w:tabs>
        </w:pPr>
        <w:r>
          <w:tab/>
        </w:r>
        <w:r>
          <w:tab/>
        </w:r>
      </w:p>
    </w:sdtContent>
  </w:sdt>
  <w:p w:rsidR="00C22C42" w:rsidRDefault="00C22C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948D4"/>
    <w:multiLevelType w:val="hybridMultilevel"/>
    <w:tmpl w:val="FF062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8B570B1"/>
    <w:multiLevelType w:val="hybridMultilevel"/>
    <w:tmpl w:val="F70086A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30283B1F"/>
    <w:multiLevelType w:val="hybridMultilevel"/>
    <w:tmpl w:val="D172A36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3AF14BD"/>
    <w:multiLevelType w:val="hybridMultilevel"/>
    <w:tmpl w:val="D172A36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F0A2060"/>
    <w:multiLevelType w:val="hybridMultilevel"/>
    <w:tmpl w:val="51E06E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7E833568"/>
    <w:multiLevelType w:val="hybridMultilevel"/>
    <w:tmpl w:val="D3EC9406"/>
    <w:lvl w:ilvl="0" w:tplc="DC121A9A">
      <w:start w:val="5"/>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91"/>
    <w:rsid w:val="00010C57"/>
    <w:rsid w:val="0002792A"/>
    <w:rsid w:val="0003299D"/>
    <w:rsid w:val="00052296"/>
    <w:rsid w:val="0009664C"/>
    <w:rsid w:val="000B6633"/>
    <w:rsid w:val="000B6D5E"/>
    <w:rsid w:val="000D0113"/>
    <w:rsid w:val="000D01C1"/>
    <w:rsid w:val="000E4C8F"/>
    <w:rsid w:val="000E7C69"/>
    <w:rsid w:val="000E7E7A"/>
    <w:rsid w:val="0011137A"/>
    <w:rsid w:val="00113918"/>
    <w:rsid w:val="00114C00"/>
    <w:rsid w:val="00115B5E"/>
    <w:rsid w:val="0012666F"/>
    <w:rsid w:val="001337B4"/>
    <w:rsid w:val="00136D8F"/>
    <w:rsid w:val="001511C2"/>
    <w:rsid w:val="001531A1"/>
    <w:rsid w:val="00165452"/>
    <w:rsid w:val="00174295"/>
    <w:rsid w:val="00181097"/>
    <w:rsid w:val="00187452"/>
    <w:rsid w:val="001A48FA"/>
    <w:rsid w:val="001B2DCD"/>
    <w:rsid w:val="001C31BF"/>
    <w:rsid w:val="002044AC"/>
    <w:rsid w:val="00221ECF"/>
    <w:rsid w:val="00227B08"/>
    <w:rsid w:val="00283A85"/>
    <w:rsid w:val="00283E52"/>
    <w:rsid w:val="00283E67"/>
    <w:rsid w:val="0028685B"/>
    <w:rsid w:val="002A1C2E"/>
    <w:rsid w:val="002A4AD5"/>
    <w:rsid w:val="002A53B3"/>
    <w:rsid w:val="002D0DF4"/>
    <w:rsid w:val="002D7CD9"/>
    <w:rsid w:val="002E47DA"/>
    <w:rsid w:val="002F2511"/>
    <w:rsid w:val="00330D44"/>
    <w:rsid w:val="00330E83"/>
    <w:rsid w:val="003364B7"/>
    <w:rsid w:val="003373D1"/>
    <w:rsid w:val="00364190"/>
    <w:rsid w:val="00395CE0"/>
    <w:rsid w:val="0039657F"/>
    <w:rsid w:val="003967AE"/>
    <w:rsid w:val="003B3765"/>
    <w:rsid w:val="003F2BBA"/>
    <w:rsid w:val="00445AE4"/>
    <w:rsid w:val="00462C31"/>
    <w:rsid w:val="00472972"/>
    <w:rsid w:val="004741E7"/>
    <w:rsid w:val="00485376"/>
    <w:rsid w:val="00486DBB"/>
    <w:rsid w:val="004A09A2"/>
    <w:rsid w:val="004B47FF"/>
    <w:rsid w:val="004C384C"/>
    <w:rsid w:val="004D273F"/>
    <w:rsid w:val="00527E6A"/>
    <w:rsid w:val="00530769"/>
    <w:rsid w:val="00552BA8"/>
    <w:rsid w:val="00565DAD"/>
    <w:rsid w:val="00567CD4"/>
    <w:rsid w:val="00582019"/>
    <w:rsid w:val="0058451A"/>
    <w:rsid w:val="00596BC8"/>
    <w:rsid w:val="005A3C91"/>
    <w:rsid w:val="005B7212"/>
    <w:rsid w:val="005D4BE3"/>
    <w:rsid w:val="005F0931"/>
    <w:rsid w:val="00604B21"/>
    <w:rsid w:val="0067465D"/>
    <w:rsid w:val="00677879"/>
    <w:rsid w:val="00693F40"/>
    <w:rsid w:val="006957AC"/>
    <w:rsid w:val="006C020F"/>
    <w:rsid w:val="00702186"/>
    <w:rsid w:val="00704843"/>
    <w:rsid w:val="007051CF"/>
    <w:rsid w:val="007201F5"/>
    <w:rsid w:val="00722B8B"/>
    <w:rsid w:val="00732498"/>
    <w:rsid w:val="00742286"/>
    <w:rsid w:val="007439F5"/>
    <w:rsid w:val="00751E3F"/>
    <w:rsid w:val="0075450C"/>
    <w:rsid w:val="00754EE8"/>
    <w:rsid w:val="007772C1"/>
    <w:rsid w:val="00806D05"/>
    <w:rsid w:val="008241CB"/>
    <w:rsid w:val="00836D2D"/>
    <w:rsid w:val="00861FAF"/>
    <w:rsid w:val="008627B9"/>
    <w:rsid w:val="008A0044"/>
    <w:rsid w:val="008A4978"/>
    <w:rsid w:val="008B3FD5"/>
    <w:rsid w:val="008C22A4"/>
    <w:rsid w:val="008D1700"/>
    <w:rsid w:val="008F1C43"/>
    <w:rsid w:val="009077DD"/>
    <w:rsid w:val="009166CD"/>
    <w:rsid w:val="00923A90"/>
    <w:rsid w:val="009307DA"/>
    <w:rsid w:val="0094063A"/>
    <w:rsid w:val="00952AB9"/>
    <w:rsid w:val="00961BF9"/>
    <w:rsid w:val="00964888"/>
    <w:rsid w:val="0097098A"/>
    <w:rsid w:val="00972ED7"/>
    <w:rsid w:val="009A52D6"/>
    <w:rsid w:val="009F39C1"/>
    <w:rsid w:val="00A227AC"/>
    <w:rsid w:val="00A22E12"/>
    <w:rsid w:val="00A232EB"/>
    <w:rsid w:val="00A42555"/>
    <w:rsid w:val="00A4540C"/>
    <w:rsid w:val="00A748BC"/>
    <w:rsid w:val="00A8053D"/>
    <w:rsid w:val="00A85157"/>
    <w:rsid w:val="00AA6A96"/>
    <w:rsid w:val="00AB61B1"/>
    <w:rsid w:val="00AD0E0D"/>
    <w:rsid w:val="00AD1AC6"/>
    <w:rsid w:val="00AD2B97"/>
    <w:rsid w:val="00AD3005"/>
    <w:rsid w:val="00B004C1"/>
    <w:rsid w:val="00B12B23"/>
    <w:rsid w:val="00B1513F"/>
    <w:rsid w:val="00B1519A"/>
    <w:rsid w:val="00B16E12"/>
    <w:rsid w:val="00B23479"/>
    <w:rsid w:val="00B6362C"/>
    <w:rsid w:val="00B66DB1"/>
    <w:rsid w:val="00B77FA8"/>
    <w:rsid w:val="00B8188A"/>
    <w:rsid w:val="00B8244E"/>
    <w:rsid w:val="00B90EAE"/>
    <w:rsid w:val="00BA48DC"/>
    <w:rsid w:val="00BB51A2"/>
    <w:rsid w:val="00BD2014"/>
    <w:rsid w:val="00BE0900"/>
    <w:rsid w:val="00C010C1"/>
    <w:rsid w:val="00C14E0B"/>
    <w:rsid w:val="00C22C42"/>
    <w:rsid w:val="00C26512"/>
    <w:rsid w:val="00C636CC"/>
    <w:rsid w:val="00C91BA0"/>
    <w:rsid w:val="00C942E5"/>
    <w:rsid w:val="00CB364F"/>
    <w:rsid w:val="00CB3B08"/>
    <w:rsid w:val="00CF6E91"/>
    <w:rsid w:val="00D05B78"/>
    <w:rsid w:val="00D1140F"/>
    <w:rsid w:val="00D127A7"/>
    <w:rsid w:val="00D143F6"/>
    <w:rsid w:val="00D26FB8"/>
    <w:rsid w:val="00D303E9"/>
    <w:rsid w:val="00D30483"/>
    <w:rsid w:val="00D36825"/>
    <w:rsid w:val="00D5483E"/>
    <w:rsid w:val="00DA0D0A"/>
    <w:rsid w:val="00E33705"/>
    <w:rsid w:val="00E34729"/>
    <w:rsid w:val="00E708EB"/>
    <w:rsid w:val="00E720D4"/>
    <w:rsid w:val="00EA0C74"/>
    <w:rsid w:val="00EA3777"/>
    <w:rsid w:val="00EA679C"/>
    <w:rsid w:val="00EB4955"/>
    <w:rsid w:val="00ED6A3C"/>
    <w:rsid w:val="00EE3FBB"/>
    <w:rsid w:val="00F05CC1"/>
    <w:rsid w:val="00F32109"/>
    <w:rsid w:val="00F44C34"/>
    <w:rsid w:val="00F46461"/>
    <w:rsid w:val="00F558FD"/>
    <w:rsid w:val="00F56844"/>
    <w:rsid w:val="00F701A6"/>
    <w:rsid w:val="00F7422E"/>
    <w:rsid w:val="00F92777"/>
    <w:rsid w:val="00FA3F29"/>
    <w:rsid w:val="00FC7A3A"/>
    <w:rsid w:val="00FC7ED4"/>
    <w:rsid w:val="00FE7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0E8DA8-DB1A-44F1-BD4F-F7638CED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C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A3C91"/>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unhideWhenUsed/>
    <w:rsid w:val="005A3C91"/>
    <w:pPr>
      <w:spacing w:after="0" w:line="240" w:lineRule="auto"/>
    </w:pPr>
    <w:rPr>
      <w:sz w:val="20"/>
      <w:szCs w:val="20"/>
    </w:rPr>
  </w:style>
  <w:style w:type="character" w:customStyle="1" w:styleId="TextonotapieCar">
    <w:name w:val="Texto nota pie Car"/>
    <w:basedOn w:val="Fuentedeprrafopredeter"/>
    <w:link w:val="Textonotapie"/>
    <w:uiPriority w:val="99"/>
    <w:rsid w:val="005A3C91"/>
    <w:rPr>
      <w:sz w:val="20"/>
      <w:szCs w:val="20"/>
    </w:rPr>
  </w:style>
  <w:style w:type="character" w:styleId="Refdenotaalpie">
    <w:name w:val="footnote reference"/>
    <w:basedOn w:val="Fuentedeprrafopredeter"/>
    <w:uiPriority w:val="99"/>
    <w:semiHidden/>
    <w:unhideWhenUsed/>
    <w:rsid w:val="005A3C91"/>
    <w:rPr>
      <w:vertAlign w:val="superscript"/>
    </w:rPr>
  </w:style>
  <w:style w:type="paragraph" w:styleId="NormalWeb">
    <w:name w:val="Normal (Web)"/>
    <w:basedOn w:val="Normal"/>
    <w:uiPriority w:val="99"/>
    <w:unhideWhenUsed/>
    <w:rsid w:val="005A3C91"/>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5A3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5A3C91"/>
    <w:rPr>
      <w:rFonts w:ascii="Calibri" w:eastAsia="Times New Roman" w:hAnsi="Calibri" w:cs="Times New Roman"/>
      <w:lang w:eastAsia="es-CO"/>
    </w:rPr>
  </w:style>
  <w:style w:type="paragraph" w:styleId="Sinespaciado">
    <w:name w:val="No Spacing"/>
    <w:link w:val="SinespaciadoCar"/>
    <w:uiPriority w:val="1"/>
    <w:qFormat/>
    <w:rsid w:val="005A3C91"/>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5A3C91"/>
  </w:style>
  <w:style w:type="paragraph" w:styleId="Encabezado">
    <w:name w:val="header"/>
    <w:basedOn w:val="Normal"/>
    <w:link w:val="EncabezadoCar"/>
    <w:uiPriority w:val="99"/>
    <w:unhideWhenUsed/>
    <w:rsid w:val="005A3C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C91"/>
  </w:style>
  <w:style w:type="paragraph" w:styleId="Textodeglobo">
    <w:name w:val="Balloon Text"/>
    <w:basedOn w:val="Normal"/>
    <w:link w:val="TextodegloboCar"/>
    <w:uiPriority w:val="99"/>
    <w:semiHidden/>
    <w:unhideWhenUsed/>
    <w:rsid w:val="005A3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C91"/>
    <w:rPr>
      <w:rFonts w:ascii="Tahoma" w:hAnsi="Tahoma" w:cs="Tahoma"/>
      <w:sz w:val="16"/>
      <w:szCs w:val="16"/>
    </w:rPr>
  </w:style>
  <w:style w:type="character" w:styleId="Hipervnculo">
    <w:name w:val="Hyperlink"/>
    <w:basedOn w:val="Fuentedeprrafopredeter"/>
    <w:uiPriority w:val="99"/>
    <w:unhideWhenUsed/>
    <w:rsid w:val="00F92777"/>
    <w:rPr>
      <w:color w:val="0000FF"/>
      <w:u w:val="single"/>
    </w:rPr>
  </w:style>
  <w:style w:type="paragraph" w:styleId="Prrafodelista">
    <w:name w:val="List Paragraph"/>
    <w:basedOn w:val="Normal"/>
    <w:uiPriority w:val="34"/>
    <w:qFormat/>
    <w:rsid w:val="00330E83"/>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EB49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955"/>
  </w:style>
  <w:style w:type="character" w:styleId="Textoennegrita">
    <w:name w:val="Strong"/>
    <w:basedOn w:val="Fuentedeprrafopredeter"/>
    <w:uiPriority w:val="22"/>
    <w:qFormat/>
    <w:rsid w:val="00B66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605">
      <w:bodyDiv w:val="1"/>
      <w:marLeft w:val="0"/>
      <w:marRight w:val="0"/>
      <w:marTop w:val="0"/>
      <w:marBottom w:val="0"/>
      <w:divBdr>
        <w:top w:val="none" w:sz="0" w:space="0" w:color="auto"/>
        <w:left w:val="none" w:sz="0" w:space="0" w:color="auto"/>
        <w:bottom w:val="none" w:sz="0" w:space="0" w:color="auto"/>
        <w:right w:val="none" w:sz="0" w:space="0" w:color="auto"/>
      </w:divBdr>
    </w:div>
    <w:div w:id="135344224">
      <w:bodyDiv w:val="1"/>
      <w:marLeft w:val="0"/>
      <w:marRight w:val="0"/>
      <w:marTop w:val="0"/>
      <w:marBottom w:val="0"/>
      <w:divBdr>
        <w:top w:val="none" w:sz="0" w:space="0" w:color="auto"/>
        <w:left w:val="none" w:sz="0" w:space="0" w:color="auto"/>
        <w:bottom w:val="none" w:sz="0" w:space="0" w:color="auto"/>
        <w:right w:val="none" w:sz="0" w:space="0" w:color="auto"/>
      </w:divBdr>
    </w:div>
    <w:div w:id="394089097">
      <w:bodyDiv w:val="1"/>
      <w:marLeft w:val="0"/>
      <w:marRight w:val="0"/>
      <w:marTop w:val="0"/>
      <w:marBottom w:val="0"/>
      <w:divBdr>
        <w:top w:val="none" w:sz="0" w:space="0" w:color="auto"/>
        <w:left w:val="none" w:sz="0" w:space="0" w:color="auto"/>
        <w:bottom w:val="none" w:sz="0" w:space="0" w:color="auto"/>
        <w:right w:val="none" w:sz="0" w:space="0" w:color="auto"/>
      </w:divBdr>
    </w:div>
    <w:div w:id="536889809">
      <w:bodyDiv w:val="1"/>
      <w:marLeft w:val="0"/>
      <w:marRight w:val="0"/>
      <w:marTop w:val="0"/>
      <w:marBottom w:val="0"/>
      <w:divBdr>
        <w:top w:val="none" w:sz="0" w:space="0" w:color="auto"/>
        <w:left w:val="none" w:sz="0" w:space="0" w:color="auto"/>
        <w:bottom w:val="none" w:sz="0" w:space="0" w:color="auto"/>
        <w:right w:val="none" w:sz="0" w:space="0" w:color="auto"/>
      </w:divBdr>
    </w:div>
    <w:div w:id="750859657">
      <w:bodyDiv w:val="1"/>
      <w:marLeft w:val="0"/>
      <w:marRight w:val="0"/>
      <w:marTop w:val="0"/>
      <w:marBottom w:val="0"/>
      <w:divBdr>
        <w:top w:val="none" w:sz="0" w:space="0" w:color="auto"/>
        <w:left w:val="none" w:sz="0" w:space="0" w:color="auto"/>
        <w:bottom w:val="none" w:sz="0" w:space="0" w:color="auto"/>
        <w:right w:val="none" w:sz="0" w:space="0" w:color="auto"/>
      </w:divBdr>
    </w:div>
    <w:div w:id="883980440">
      <w:bodyDiv w:val="1"/>
      <w:marLeft w:val="0"/>
      <w:marRight w:val="0"/>
      <w:marTop w:val="0"/>
      <w:marBottom w:val="0"/>
      <w:divBdr>
        <w:top w:val="none" w:sz="0" w:space="0" w:color="auto"/>
        <w:left w:val="none" w:sz="0" w:space="0" w:color="auto"/>
        <w:bottom w:val="none" w:sz="0" w:space="0" w:color="auto"/>
        <w:right w:val="none" w:sz="0" w:space="0" w:color="auto"/>
      </w:divBdr>
    </w:div>
    <w:div w:id="1069570401">
      <w:bodyDiv w:val="1"/>
      <w:marLeft w:val="0"/>
      <w:marRight w:val="0"/>
      <w:marTop w:val="0"/>
      <w:marBottom w:val="0"/>
      <w:divBdr>
        <w:top w:val="none" w:sz="0" w:space="0" w:color="auto"/>
        <w:left w:val="none" w:sz="0" w:space="0" w:color="auto"/>
        <w:bottom w:val="none" w:sz="0" w:space="0" w:color="auto"/>
        <w:right w:val="none" w:sz="0" w:space="0" w:color="auto"/>
      </w:divBdr>
      <w:divsChild>
        <w:div w:id="1777948041">
          <w:marLeft w:val="0"/>
          <w:marRight w:val="0"/>
          <w:marTop w:val="0"/>
          <w:marBottom w:val="0"/>
          <w:divBdr>
            <w:top w:val="single" w:sz="6" w:space="3" w:color="808080"/>
            <w:left w:val="single" w:sz="6" w:space="15" w:color="808080"/>
            <w:bottom w:val="single" w:sz="6" w:space="8" w:color="808080"/>
            <w:right w:val="single" w:sz="6" w:space="15" w:color="808080"/>
          </w:divBdr>
          <w:divsChild>
            <w:div w:id="1862166601">
              <w:marLeft w:val="0"/>
              <w:marRight w:val="0"/>
              <w:marTop w:val="0"/>
              <w:marBottom w:val="0"/>
              <w:divBdr>
                <w:top w:val="none" w:sz="0" w:space="0" w:color="auto"/>
                <w:left w:val="none" w:sz="0" w:space="0" w:color="auto"/>
                <w:bottom w:val="none" w:sz="0" w:space="0" w:color="auto"/>
                <w:right w:val="none" w:sz="0" w:space="0" w:color="auto"/>
              </w:divBdr>
            </w:div>
          </w:divsChild>
        </w:div>
        <w:div w:id="337006389">
          <w:marLeft w:val="0"/>
          <w:marRight w:val="0"/>
          <w:marTop w:val="0"/>
          <w:marBottom w:val="0"/>
          <w:divBdr>
            <w:top w:val="none" w:sz="0" w:space="0" w:color="auto"/>
            <w:left w:val="none" w:sz="0" w:space="0" w:color="auto"/>
            <w:bottom w:val="none" w:sz="0" w:space="0" w:color="auto"/>
            <w:right w:val="none" w:sz="0" w:space="0" w:color="auto"/>
          </w:divBdr>
        </w:div>
        <w:div w:id="1049187402">
          <w:marLeft w:val="0"/>
          <w:marRight w:val="0"/>
          <w:marTop w:val="0"/>
          <w:marBottom w:val="0"/>
          <w:divBdr>
            <w:top w:val="none" w:sz="0" w:space="0" w:color="auto"/>
            <w:left w:val="none" w:sz="0" w:space="0" w:color="auto"/>
            <w:bottom w:val="none" w:sz="0" w:space="0" w:color="auto"/>
            <w:right w:val="none" w:sz="0" w:space="0" w:color="auto"/>
          </w:divBdr>
        </w:div>
        <w:div w:id="1559853352">
          <w:marLeft w:val="0"/>
          <w:marRight w:val="0"/>
          <w:marTop w:val="0"/>
          <w:marBottom w:val="0"/>
          <w:divBdr>
            <w:top w:val="none" w:sz="0" w:space="0" w:color="auto"/>
            <w:left w:val="none" w:sz="0" w:space="0" w:color="auto"/>
            <w:bottom w:val="none" w:sz="0" w:space="0" w:color="auto"/>
            <w:right w:val="none" w:sz="0" w:space="0" w:color="auto"/>
          </w:divBdr>
        </w:div>
        <w:div w:id="2116362775">
          <w:marLeft w:val="0"/>
          <w:marRight w:val="0"/>
          <w:marTop w:val="0"/>
          <w:marBottom w:val="0"/>
          <w:divBdr>
            <w:top w:val="none" w:sz="0" w:space="0" w:color="auto"/>
            <w:left w:val="none" w:sz="0" w:space="0" w:color="auto"/>
            <w:bottom w:val="none" w:sz="0" w:space="0" w:color="auto"/>
            <w:right w:val="none" w:sz="0" w:space="0" w:color="auto"/>
          </w:divBdr>
        </w:div>
        <w:div w:id="243538533">
          <w:marLeft w:val="0"/>
          <w:marRight w:val="0"/>
          <w:marTop w:val="0"/>
          <w:marBottom w:val="0"/>
          <w:divBdr>
            <w:top w:val="none" w:sz="0" w:space="0" w:color="auto"/>
            <w:left w:val="none" w:sz="0" w:space="0" w:color="auto"/>
            <w:bottom w:val="none" w:sz="0" w:space="0" w:color="auto"/>
            <w:right w:val="none" w:sz="0" w:space="0" w:color="auto"/>
          </w:divBdr>
        </w:div>
        <w:div w:id="1929655554">
          <w:marLeft w:val="0"/>
          <w:marRight w:val="0"/>
          <w:marTop w:val="0"/>
          <w:marBottom w:val="0"/>
          <w:divBdr>
            <w:top w:val="none" w:sz="0" w:space="0" w:color="auto"/>
            <w:left w:val="none" w:sz="0" w:space="0" w:color="auto"/>
            <w:bottom w:val="none" w:sz="0" w:space="0" w:color="auto"/>
            <w:right w:val="none" w:sz="0" w:space="0" w:color="auto"/>
          </w:divBdr>
        </w:div>
        <w:div w:id="782724398">
          <w:marLeft w:val="0"/>
          <w:marRight w:val="0"/>
          <w:marTop w:val="0"/>
          <w:marBottom w:val="0"/>
          <w:divBdr>
            <w:top w:val="none" w:sz="0" w:space="0" w:color="auto"/>
            <w:left w:val="none" w:sz="0" w:space="0" w:color="auto"/>
            <w:bottom w:val="none" w:sz="0" w:space="0" w:color="auto"/>
            <w:right w:val="none" w:sz="0" w:space="0" w:color="auto"/>
          </w:divBdr>
        </w:div>
        <w:div w:id="1897274707">
          <w:marLeft w:val="0"/>
          <w:marRight w:val="0"/>
          <w:marTop w:val="0"/>
          <w:marBottom w:val="0"/>
          <w:divBdr>
            <w:top w:val="none" w:sz="0" w:space="0" w:color="auto"/>
            <w:left w:val="none" w:sz="0" w:space="0" w:color="auto"/>
            <w:bottom w:val="none" w:sz="0" w:space="0" w:color="auto"/>
            <w:right w:val="none" w:sz="0" w:space="0" w:color="auto"/>
          </w:divBdr>
        </w:div>
        <w:div w:id="486092450">
          <w:marLeft w:val="0"/>
          <w:marRight w:val="0"/>
          <w:marTop w:val="0"/>
          <w:marBottom w:val="0"/>
          <w:divBdr>
            <w:top w:val="none" w:sz="0" w:space="0" w:color="auto"/>
            <w:left w:val="none" w:sz="0" w:space="0" w:color="auto"/>
            <w:bottom w:val="none" w:sz="0" w:space="0" w:color="auto"/>
            <w:right w:val="none" w:sz="0" w:space="0" w:color="auto"/>
          </w:divBdr>
        </w:div>
        <w:div w:id="1150945858">
          <w:marLeft w:val="0"/>
          <w:marRight w:val="0"/>
          <w:marTop w:val="0"/>
          <w:marBottom w:val="0"/>
          <w:divBdr>
            <w:top w:val="none" w:sz="0" w:space="0" w:color="auto"/>
            <w:left w:val="none" w:sz="0" w:space="0" w:color="auto"/>
            <w:bottom w:val="none" w:sz="0" w:space="0" w:color="auto"/>
            <w:right w:val="none" w:sz="0" w:space="0" w:color="auto"/>
          </w:divBdr>
        </w:div>
        <w:div w:id="1429157581">
          <w:marLeft w:val="0"/>
          <w:marRight w:val="0"/>
          <w:marTop w:val="0"/>
          <w:marBottom w:val="0"/>
          <w:divBdr>
            <w:top w:val="none" w:sz="0" w:space="0" w:color="auto"/>
            <w:left w:val="none" w:sz="0" w:space="0" w:color="auto"/>
            <w:bottom w:val="none" w:sz="0" w:space="0" w:color="auto"/>
            <w:right w:val="none" w:sz="0" w:space="0" w:color="auto"/>
          </w:divBdr>
        </w:div>
        <w:div w:id="692726767">
          <w:marLeft w:val="0"/>
          <w:marRight w:val="0"/>
          <w:marTop w:val="0"/>
          <w:marBottom w:val="0"/>
          <w:divBdr>
            <w:top w:val="none" w:sz="0" w:space="0" w:color="auto"/>
            <w:left w:val="none" w:sz="0" w:space="0" w:color="auto"/>
            <w:bottom w:val="none" w:sz="0" w:space="0" w:color="auto"/>
            <w:right w:val="none" w:sz="0" w:space="0" w:color="auto"/>
          </w:divBdr>
        </w:div>
        <w:div w:id="1748266270">
          <w:marLeft w:val="0"/>
          <w:marRight w:val="0"/>
          <w:marTop w:val="0"/>
          <w:marBottom w:val="0"/>
          <w:divBdr>
            <w:top w:val="none" w:sz="0" w:space="0" w:color="auto"/>
            <w:left w:val="none" w:sz="0" w:space="0" w:color="auto"/>
            <w:bottom w:val="none" w:sz="0" w:space="0" w:color="auto"/>
            <w:right w:val="none" w:sz="0" w:space="0" w:color="auto"/>
          </w:divBdr>
        </w:div>
        <w:div w:id="1483304197">
          <w:marLeft w:val="0"/>
          <w:marRight w:val="0"/>
          <w:marTop w:val="0"/>
          <w:marBottom w:val="0"/>
          <w:divBdr>
            <w:top w:val="none" w:sz="0" w:space="0" w:color="auto"/>
            <w:left w:val="none" w:sz="0" w:space="0" w:color="auto"/>
            <w:bottom w:val="none" w:sz="0" w:space="0" w:color="auto"/>
            <w:right w:val="none" w:sz="0" w:space="0" w:color="auto"/>
          </w:divBdr>
        </w:div>
        <w:div w:id="734083943">
          <w:marLeft w:val="0"/>
          <w:marRight w:val="0"/>
          <w:marTop w:val="0"/>
          <w:marBottom w:val="0"/>
          <w:divBdr>
            <w:top w:val="none" w:sz="0" w:space="0" w:color="auto"/>
            <w:left w:val="none" w:sz="0" w:space="0" w:color="auto"/>
            <w:bottom w:val="none" w:sz="0" w:space="0" w:color="auto"/>
            <w:right w:val="none" w:sz="0" w:space="0" w:color="auto"/>
          </w:divBdr>
        </w:div>
        <w:div w:id="827791643">
          <w:marLeft w:val="0"/>
          <w:marRight w:val="0"/>
          <w:marTop w:val="0"/>
          <w:marBottom w:val="0"/>
          <w:divBdr>
            <w:top w:val="none" w:sz="0" w:space="0" w:color="auto"/>
            <w:left w:val="none" w:sz="0" w:space="0" w:color="auto"/>
            <w:bottom w:val="none" w:sz="0" w:space="0" w:color="auto"/>
            <w:right w:val="none" w:sz="0" w:space="0" w:color="auto"/>
          </w:divBdr>
        </w:div>
        <w:div w:id="838690300">
          <w:marLeft w:val="0"/>
          <w:marRight w:val="0"/>
          <w:marTop w:val="0"/>
          <w:marBottom w:val="0"/>
          <w:divBdr>
            <w:top w:val="none" w:sz="0" w:space="0" w:color="auto"/>
            <w:left w:val="none" w:sz="0" w:space="0" w:color="auto"/>
            <w:bottom w:val="none" w:sz="0" w:space="0" w:color="auto"/>
            <w:right w:val="none" w:sz="0" w:space="0" w:color="auto"/>
          </w:divBdr>
        </w:div>
        <w:div w:id="93594158">
          <w:marLeft w:val="0"/>
          <w:marRight w:val="0"/>
          <w:marTop w:val="0"/>
          <w:marBottom w:val="0"/>
          <w:divBdr>
            <w:top w:val="none" w:sz="0" w:space="0" w:color="auto"/>
            <w:left w:val="none" w:sz="0" w:space="0" w:color="auto"/>
            <w:bottom w:val="none" w:sz="0" w:space="0" w:color="auto"/>
            <w:right w:val="none" w:sz="0" w:space="0" w:color="auto"/>
          </w:divBdr>
        </w:div>
        <w:div w:id="442848388">
          <w:marLeft w:val="0"/>
          <w:marRight w:val="0"/>
          <w:marTop w:val="0"/>
          <w:marBottom w:val="0"/>
          <w:divBdr>
            <w:top w:val="none" w:sz="0" w:space="0" w:color="auto"/>
            <w:left w:val="none" w:sz="0" w:space="0" w:color="auto"/>
            <w:bottom w:val="none" w:sz="0" w:space="0" w:color="auto"/>
            <w:right w:val="none" w:sz="0" w:space="0" w:color="auto"/>
          </w:divBdr>
        </w:div>
        <w:div w:id="1599562913">
          <w:marLeft w:val="0"/>
          <w:marRight w:val="0"/>
          <w:marTop w:val="0"/>
          <w:marBottom w:val="0"/>
          <w:divBdr>
            <w:top w:val="none" w:sz="0" w:space="0" w:color="auto"/>
            <w:left w:val="none" w:sz="0" w:space="0" w:color="auto"/>
            <w:bottom w:val="none" w:sz="0" w:space="0" w:color="auto"/>
            <w:right w:val="none" w:sz="0" w:space="0" w:color="auto"/>
          </w:divBdr>
        </w:div>
        <w:div w:id="737675127">
          <w:marLeft w:val="0"/>
          <w:marRight w:val="0"/>
          <w:marTop w:val="0"/>
          <w:marBottom w:val="0"/>
          <w:divBdr>
            <w:top w:val="none" w:sz="0" w:space="0" w:color="auto"/>
            <w:left w:val="none" w:sz="0" w:space="0" w:color="auto"/>
            <w:bottom w:val="none" w:sz="0" w:space="0" w:color="auto"/>
            <w:right w:val="none" w:sz="0" w:space="0" w:color="auto"/>
          </w:divBdr>
        </w:div>
        <w:div w:id="363946263">
          <w:marLeft w:val="0"/>
          <w:marRight w:val="0"/>
          <w:marTop w:val="0"/>
          <w:marBottom w:val="0"/>
          <w:divBdr>
            <w:top w:val="none" w:sz="0" w:space="0" w:color="auto"/>
            <w:left w:val="none" w:sz="0" w:space="0" w:color="auto"/>
            <w:bottom w:val="none" w:sz="0" w:space="0" w:color="auto"/>
            <w:right w:val="none" w:sz="0" w:space="0" w:color="auto"/>
          </w:divBdr>
        </w:div>
        <w:div w:id="717244241">
          <w:marLeft w:val="0"/>
          <w:marRight w:val="0"/>
          <w:marTop w:val="0"/>
          <w:marBottom w:val="0"/>
          <w:divBdr>
            <w:top w:val="none" w:sz="0" w:space="0" w:color="auto"/>
            <w:left w:val="none" w:sz="0" w:space="0" w:color="auto"/>
            <w:bottom w:val="none" w:sz="0" w:space="0" w:color="auto"/>
            <w:right w:val="none" w:sz="0" w:space="0" w:color="auto"/>
          </w:divBdr>
        </w:div>
        <w:div w:id="616791445">
          <w:marLeft w:val="0"/>
          <w:marRight w:val="0"/>
          <w:marTop w:val="0"/>
          <w:marBottom w:val="0"/>
          <w:divBdr>
            <w:top w:val="none" w:sz="0" w:space="0" w:color="auto"/>
            <w:left w:val="none" w:sz="0" w:space="0" w:color="auto"/>
            <w:bottom w:val="none" w:sz="0" w:space="0" w:color="auto"/>
            <w:right w:val="none" w:sz="0" w:space="0" w:color="auto"/>
          </w:divBdr>
        </w:div>
      </w:divsChild>
    </w:div>
    <w:div w:id="1191141500">
      <w:bodyDiv w:val="1"/>
      <w:marLeft w:val="0"/>
      <w:marRight w:val="0"/>
      <w:marTop w:val="0"/>
      <w:marBottom w:val="0"/>
      <w:divBdr>
        <w:top w:val="none" w:sz="0" w:space="0" w:color="auto"/>
        <w:left w:val="none" w:sz="0" w:space="0" w:color="auto"/>
        <w:bottom w:val="none" w:sz="0" w:space="0" w:color="auto"/>
        <w:right w:val="none" w:sz="0" w:space="0" w:color="auto"/>
      </w:divBdr>
    </w:div>
    <w:div w:id="1202279671">
      <w:bodyDiv w:val="1"/>
      <w:marLeft w:val="0"/>
      <w:marRight w:val="0"/>
      <w:marTop w:val="0"/>
      <w:marBottom w:val="0"/>
      <w:divBdr>
        <w:top w:val="none" w:sz="0" w:space="0" w:color="auto"/>
        <w:left w:val="none" w:sz="0" w:space="0" w:color="auto"/>
        <w:bottom w:val="none" w:sz="0" w:space="0" w:color="auto"/>
        <w:right w:val="none" w:sz="0" w:space="0" w:color="auto"/>
      </w:divBdr>
    </w:div>
    <w:div w:id="1234193629">
      <w:bodyDiv w:val="1"/>
      <w:marLeft w:val="0"/>
      <w:marRight w:val="0"/>
      <w:marTop w:val="0"/>
      <w:marBottom w:val="0"/>
      <w:divBdr>
        <w:top w:val="none" w:sz="0" w:space="0" w:color="auto"/>
        <w:left w:val="none" w:sz="0" w:space="0" w:color="auto"/>
        <w:bottom w:val="none" w:sz="0" w:space="0" w:color="auto"/>
        <w:right w:val="none" w:sz="0" w:space="0" w:color="auto"/>
      </w:divBdr>
    </w:div>
    <w:div w:id="1633245256">
      <w:bodyDiv w:val="1"/>
      <w:marLeft w:val="0"/>
      <w:marRight w:val="0"/>
      <w:marTop w:val="0"/>
      <w:marBottom w:val="0"/>
      <w:divBdr>
        <w:top w:val="none" w:sz="0" w:space="0" w:color="auto"/>
        <w:left w:val="none" w:sz="0" w:space="0" w:color="auto"/>
        <w:bottom w:val="none" w:sz="0" w:space="0" w:color="auto"/>
        <w:right w:val="none" w:sz="0" w:space="0" w:color="auto"/>
      </w:divBdr>
    </w:div>
    <w:div w:id="1777944795">
      <w:bodyDiv w:val="1"/>
      <w:marLeft w:val="0"/>
      <w:marRight w:val="0"/>
      <w:marTop w:val="0"/>
      <w:marBottom w:val="0"/>
      <w:divBdr>
        <w:top w:val="none" w:sz="0" w:space="0" w:color="auto"/>
        <w:left w:val="none" w:sz="0" w:space="0" w:color="auto"/>
        <w:bottom w:val="none" w:sz="0" w:space="0" w:color="auto"/>
        <w:right w:val="none" w:sz="0" w:space="0" w:color="auto"/>
      </w:divBdr>
    </w:div>
    <w:div w:id="20998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BBA7-B399-424F-9475-44DE4185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2028</Words>
  <Characters>11157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soniacortes</cp:lastModifiedBy>
  <cp:revision>13</cp:revision>
  <cp:lastPrinted>2015-09-16T22:33:00Z</cp:lastPrinted>
  <dcterms:created xsi:type="dcterms:W3CDTF">2016-05-25T13:53:00Z</dcterms:created>
  <dcterms:modified xsi:type="dcterms:W3CDTF">2016-05-25T14:15:00Z</dcterms:modified>
</cp:coreProperties>
</file>